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45403d6k.htm"/>
      <w:bookmarkStart w:id="1" w:name="ksd145403d6k"/>
      <w:bookmarkEnd w:id="0"/>
      <w:bookmarkEnd w:id="1"/>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80" w:after="0"/>
        <w:jc w:val="center"/>
        <w:rPr>
          <w:rFonts w:ascii="Times New Roman" w:hAnsi="Times New Roman"/>
          <w:b/>
          <w:sz w:val="36"/>
        </w:rPr>
      </w:pPr>
      <w:r>
        <w:rPr>
          <w:rFonts w:ascii="Times New Roman" w:hAnsi="Times New Roman"/>
          <w:b/>
          <w:sz w:val="36"/>
        </w:rPr>
        <w:t xml:space="preserve">UNITED STATES </w:t>
      </w:r>
    </w:p>
    <w:p>
      <w:pPr>
        <w:pStyle w:val="TextBody"/>
        <w:bidi w:val="0"/>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bidi w:val="0"/>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36"/>
        </w:rPr>
      </w:pPr>
      <w:r>
        <w:rPr>
          <w:rFonts w:ascii="Times New Roman" w:hAnsi="Times New Roman"/>
          <w:b/>
          <w:sz w:val="36"/>
        </w:rPr>
        <w:t xml:space="preserve">FORM 6-K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4"/>
        </w:rPr>
      </w:pPr>
      <w:r>
        <w:rPr>
          <w:rFonts w:ascii="Times New Roman" w:hAnsi="Times New Roman"/>
          <w:b/>
          <w:sz w:val="24"/>
        </w:rPr>
        <w:t xml:space="preserve">REPORT OF FOREIGN PRIVATE ISSUER </w:t>
      </w:r>
    </w:p>
    <w:p>
      <w:pPr>
        <w:pStyle w:val="TextBody"/>
        <w:bidi w:val="0"/>
        <w:spacing w:before="0" w:after="0"/>
        <w:jc w:val="center"/>
        <w:rPr>
          <w:rFonts w:ascii="Times New Roman" w:hAnsi="Times New Roman"/>
          <w:b/>
          <w:sz w:val="24"/>
        </w:rPr>
      </w:pPr>
      <w:r>
        <w:rPr>
          <w:rFonts w:ascii="Times New Roman" w:hAnsi="Times New Roman"/>
          <w:b/>
          <w:sz w:val="24"/>
        </w:rPr>
        <w:t xml:space="preserve">PURSUANT TO RULE 13a-16 OR 15d-16 </w:t>
      </w:r>
    </w:p>
    <w:p>
      <w:pPr>
        <w:pStyle w:val="TextBody"/>
        <w:bidi w:val="0"/>
        <w:spacing w:before="0" w:after="0"/>
        <w:jc w:val="center"/>
        <w:rPr>
          <w:rFonts w:ascii="Times New Roman" w:hAnsi="Times New Roman"/>
          <w:b/>
          <w:sz w:val="24"/>
        </w:rPr>
      </w:pPr>
      <w:r>
        <w:rPr>
          <w:rFonts w:ascii="Times New Roman" w:hAnsi="Times New Roman"/>
          <w:b/>
          <w:sz w:val="24"/>
        </w:rPr>
        <w:t xml:space="preserve">UNDER THE SECURITIES EXCHANGE ACT OF 1934 </w:t>
      </w:r>
    </w:p>
    <w:p>
      <w:pPr>
        <w:pStyle w:val="TextBody"/>
        <w:bidi w:val="0"/>
        <w:spacing w:before="240" w:after="0"/>
        <w:jc w:val="center"/>
        <w:rPr>
          <w:rFonts w:ascii="Times New Roman" w:hAnsi="Times New Roman"/>
          <w:b/>
          <w:sz w:val="20"/>
        </w:rPr>
      </w:pPr>
      <w:r>
        <w:rPr>
          <w:rFonts w:ascii="Times New Roman" w:hAnsi="Times New Roman"/>
          <w:b/>
          <w:sz w:val="20"/>
        </w:rPr>
        <w:t xml:space="preserve">For the month of October, 2026. </w:t>
      </w:r>
    </w:p>
    <w:p>
      <w:pPr>
        <w:pStyle w:val="TextBody"/>
        <w:bidi w:val="0"/>
        <w:spacing w:before="240" w:after="0"/>
        <w:jc w:val="center"/>
        <w:rPr>
          <w:rFonts w:ascii="Times New Roman" w:hAnsi="Times New Roman"/>
          <w:b/>
          <w:sz w:val="20"/>
        </w:rPr>
      </w:pPr>
      <w:r>
        <w:rPr>
          <w:rFonts w:ascii="Times New Roman" w:hAnsi="Times New Roman"/>
          <w:b/>
          <w:sz w:val="20"/>
        </w:rPr>
        <w:t xml:space="preserve">Commission File Number: 001-14946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48"/>
        </w:rPr>
      </w:pPr>
      <w:r>
        <w:rPr>
          <w:rFonts w:ascii="Times New Roman" w:hAnsi="Times New Roman"/>
          <w:b/>
          <w:sz w:val="48"/>
        </w:rPr>
        <w:t xml:space="preserve">Cemex, S.A.B. de C.V. </w:t>
      </w:r>
    </w:p>
    <w:p>
      <w:pPr>
        <w:pStyle w:val="TextBody"/>
        <w:bidi w:val="0"/>
        <w:spacing w:before="0" w:after="0"/>
        <w:jc w:val="center"/>
        <w:rPr>
          <w:rFonts w:ascii="Times New Roman" w:hAnsi="Times New Roman"/>
          <w:b/>
          <w:sz w:val="20"/>
        </w:rPr>
      </w:pPr>
      <w:r>
        <w:rPr>
          <w:rFonts w:ascii="Times New Roman" w:hAnsi="Times New Roman"/>
          <w:b/>
          <w:sz w:val="20"/>
        </w:rPr>
        <w:t xml:space="preserve">(Translation of registrant’s name into English)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Avenida Ricardo Margáin Zozaya #325, Colonia Valle del Campestre, </w:t>
      </w:r>
    </w:p>
    <w:p>
      <w:pPr>
        <w:pStyle w:val="TextBody"/>
        <w:bidi w:val="0"/>
        <w:spacing w:before="0" w:after="0"/>
        <w:jc w:val="center"/>
        <w:rPr>
          <w:rFonts w:ascii="Times New Roman" w:hAnsi="Times New Roman"/>
          <w:b/>
          <w:sz w:val="20"/>
        </w:rPr>
      </w:pPr>
      <w:r>
        <w:rPr>
          <w:rFonts w:ascii="Times New Roman" w:hAnsi="Times New Roman"/>
          <w:b/>
          <w:sz w:val="20"/>
        </w:rPr>
        <w:t xml:space="preserve">San Pedro Garza García, Nuevo León 66265, México </w:t>
      </w:r>
    </w:p>
    <w:p>
      <w:pPr>
        <w:pStyle w:val="TextBody"/>
        <w:bidi w:val="0"/>
        <w:spacing w:before="0" w:after="0"/>
        <w:jc w:val="center"/>
        <w:rPr>
          <w:rFonts w:ascii="Times New Roman" w:hAnsi="Times New Roman"/>
          <w:b/>
          <w:sz w:val="16"/>
        </w:rPr>
      </w:pPr>
      <w:r>
        <w:rPr>
          <w:rFonts w:ascii="Times New Roman" w:hAnsi="Times New Roman"/>
          <w:b/>
          <w:sz w:val="16"/>
        </w:rPr>
        <w:t xml:space="preserve">(Address of principal executive office)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Indicate by check mark whether the registrant files or will file annual reports under cover Form 20-F or Form 40-F. </w:t>
      </w:r>
    </w:p>
    <w:p>
      <w:pPr>
        <w:pStyle w:val="TextBody"/>
        <w:bidi w:val="0"/>
        <w:spacing w:before="240" w:after="0"/>
        <w:jc w:val="center"/>
        <w:rPr>
          <w:rFonts w:ascii="Times New Roman" w:hAnsi="Times New Roman"/>
          <w:sz w:val="20"/>
        </w:rPr>
      </w:pPr>
      <w:r>
        <w:rPr>
          <w:rFonts w:ascii="Times New Roman" w:hAnsi="Times New Roman"/>
          <w:sz w:val="20"/>
        </w:rPr>
        <w:t xml:space="preserve">Form 20-F ☒   Form 40-F ☐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xml:space="preserve">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Contents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06"/>
        <w:gridCol w:w="9799"/>
      </w:tblGrid>
      <w:tr>
        <w:trPr/>
        <w:tc>
          <w:tcPr>
            <w:tcW w:w="406" w:type="dxa"/>
            <w:tcBorders/>
          </w:tcPr>
          <w:p>
            <w:pPr>
              <w:pStyle w:val="TableContents"/>
              <w:bidi w:val="0"/>
              <w:spacing w:before="0" w:after="283"/>
              <w:jc w:val="left"/>
              <w:rPr/>
            </w:pPr>
            <w:r>
              <w:rPr/>
              <w:t>1.</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Invitation from Cemex, S.A.B. de C.V. (“Cemex”) (NYSE: CX), dated October 19, 2026, announcing that it will report its third quarter 2026 results on Monday, October 26, 2026, and host a conference call and live audio webcast presentation to discuss the results on the same date at 11:00 am. U.S. Eastern Time (09:00 a.m. Mexico Central Time). Cemex’s live presentation can be accessed, and dial-in information is available, at www.cemex.com. </w:t>
            </w:r>
          </w:p>
        </w:tc>
      </w:tr>
    </w:tbl>
    <w:p>
      <w:pPr>
        <w:pStyle w:val="HorizontalLine"/>
        <w:pBdr>
          <w:bottom w:val="double" w:sz="6" w:space="0" w:color="808080"/>
        </w:pBdr>
        <w:bidi w:val="0"/>
        <w:jc w:val="left"/>
        <w:rPr/>
      </w:pPr>
      <w:r>
        <w:br w:type="page"/>
      </w: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Cemex, S.A.B. de C.V. has duly caused this report to be signed on its behalf by the undersigned, thereunto duly authorized.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4163"/>
        <w:gridCol w:w="107"/>
        <w:gridCol w:w="391"/>
        <w:gridCol w:w="107"/>
        <w:gridCol w:w="346"/>
        <w:gridCol w:w="107"/>
        <w:gridCol w:w="592"/>
        <w:gridCol w:w="107"/>
        <w:gridCol w:w="4285"/>
      </w:tblGrid>
      <w:tr>
        <w:trPr/>
        <w:tc>
          <w:tcPr>
            <w:tcW w:w="4163"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sz w:val="4"/>
                <w:szCs w:val="4"/>
              </w:rPr>
            </w:pPr>
            <w:r>
              <w:rPr>
                <w:sz w:val="4"/>
                <w:szCs w:val="4"/>
              </w:rPr>
            </w:r>
          </w:p>
        </w:tc>
        <w:tc>
          <w:tcPr>
            <w:tcW w:w="4285" w:type="dxa"/>
            <w:tcBorders/>
            <w:vAlign w:val="center"/>
          </w:tcPr>
          <w:p>
            <w:pPr>
              <w:pStyle w:val="TableContents"/>
              <w:bidi w:val="0"/>
              <w:spacing w:before="0" w:after="283"/>
              <w:jc w:val="left"/>
              <w:rPr>
                <w:sz w:val="4"/>
                <w:szCs w:val="4"/>
              </w:rPr>
            </w:pPr>
            <w:r>
              <w:rPr>
                <w:sz w:val="4"/>
                <w:szCs w:val="4"/>
              </w:rPr>
            </w:r>
          </w:p>
        </w:tc>
      </w:tr>
      <w:tr>
        <w:trPr/>
        <w:tc>
          <w:tcPr>
            <w:tcW w:w="416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8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Cemex, S.A.B. de C.V.</w:t>
            </w:r>
          </w:p>
        </w:tc>
      </w:tr>
      <w:tr>
        <w:trPr/>
        <w:tc>
          <w:tcPr>
            <w:tcW w:w="416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4984" w:type="dxa"/>
            <w:gridSpan w:val="3"/>
            <w:tcBorders/>
          </w:tcPr>
          <w:p>
            <w:pPr>
              <w:pStyle w:val="TableContents"/>
              <w:bidi w:val="0"/>
              <w:spacing w:before="0" w:after="283"/>
              <w:jc w:val="left"/>
              <w:rPr/>
            </w:pPr>
            <w:r>
              <w:rPr/>
              <w:t>(Registrant)</w:t>
            </w:r>
          </w:p>
        </w:tc>
      </w:tr>
      <w:tr>
        <w:trPr>
          <w:trHeight w:val="240" w:hRule="atLeast"/>
        </w:trPr>
        <w:tc>
          <w:tcPr>
            <w:tcW w:w="4163" w:type="dxa"/>
            <w:tcBorders/>
            <w:vAlign w:val="center"/>
          </w:tcPr>
          <w:p>
            <w:pPr>
              <w:pStyle w:val="TableContents"/>
              <w:bidi w:val="0"/>
              <w:spacing w:before="0" w:after="283"/>
              <w:jc w:val="left"/>
              <w:rPr>
                <w:sz w:val="4"/>
                <w:szCs w:val="4"/>
              </w:rPr>
            </w:pPr>
            <w:r>
              <w:rPr>
                <w:sz w:val="4"/>
                <w:szCs w:val="4"/>
              </w:rPr>
            </w:r>
          </w:p>
        </w:tc>
        <w:tc>
          <w:tcPr>
            <w:tcW w:w="498" w:type="dxa"/>
            <w:gridSpan w:val="2"/>
            <w:tcBorders/>
            <w:vAlign w:val="center"/>
          </w:tcPr>
          <w:p>
            <w:pPr>
              <w:pStyle w:val="TableContents"/>
              <w:bidi w:val="0"/>
              <w:spacing w:before="0" w:after="283"/>
              <w:jc w:val="left"/>
              <w:rPr>
                <w:sz w:val="4"/>
                <w:szCs w:val="4"/>
              </w:rPr>
            </w:pPr>
            <w:r>
              <w:rPr>
                <w:sz w:val="4"/>
                <w:szCs w:val="4"/>
              </w:rPr>
            </w:r>
          </w:p>
        </w:tc>
        <w:tc>
          <w:tcPr>
            <w:tcW w:w="453" w:type="dxa"/>
            <w:gridSpan w:val="2"/>
            <w:tcBorders/>
            <w:vAlign w:val="center"/>
          </w:tcPr>
          <w:p>
            <w:pPr>
              <w:pStyle w:val="TableContents"/>
              <w:bidi w:val="0"/>
              <w:spacing w:before="0" w:after="283"/>
              <w:jc w:val="left"/>
              <w:rPr>
                <w:sz w:val="4"/>
                <w:szCs w:val="4"/>
              </w:rPr>
            </w:pPr>
            <w:r>
              <w:rPr>
                <w:sz w:val="4"/>
                <w:szCs w:val="4"/>
              </w:rPr>
            </w:r>
          </w:p>
        </w:tc>
        <w:tc>
          <w:tcPr>
            <w:tcW w:w="5091" w:type="dxa"/>
            <w:gridSpan w:val="4"/>
            <w:tcBorders/>
            <w:vAlign w:val="center"/>
          </w:tcPr>
          <w:p>
            <w:pPr>
              <w:pStyle w:val="TableContents"/>
              <w:bidi w:val="0"/>
              <w:spacing w:before="0" w:after="283"/>
              <w:jc w:val="left"/>
              <w:rPr>
                <w:sz w:val="4"/>
                <w:szCs w:val="4"/>
              </w:rPr>
            </w:pPr>
            <w:r>
              <w:rPr>
                <w:sz w:val="4"/>
                <w:szCs w:val="4"/>
              </w:rPr>
            </w:r>
          </w:p>
        </w:tc>
      </w:tr>
      <w:tr>
        <w:trPr/>
        <w:tc>
          <w:tcPr>
            <w:tcW w:w="4163" w:type="dxa"/>
            <w:tcBorders/>
          </w:tcPr>
          <w:p>
            <w:pPr>
              <w:pStyle w:val="TableContents"/>
              <w:bidi w:val="0"/>
              <w:spacing w:before="0" w:after="283"/>
              <w:jc w:val="left"/>
              <w:rPr/>
            </w:pPr>
            <w:r>
              <w:rPr/>
              <w:t>Date: October 19, 2026</w:t>
            </w:r>
          </w:p>
        </w:tc>
        <w:tc>
          <w:tcPr>
            <w:tcW w:w="10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6" w:type="dxa"/>
            <w:tcBorders/>
          </w:tcPr>
          <w:p>
            <w:pPr>
              <w:pStyle w:val="TableContents"/>
              <w:bidi w:val="0"/>
              <w:spacing w:before="0" w:after="283"/>
              <w:jc w:val="left"/>
              <w:rPr/>
            </w:pPr>
            <w:r>
              <w:rPr/>
              <w:t>By:</w:t>
            </w:r>
          </w:p>
        </w:tc>
        <w:tc>
          <w:tcPr>
            <w:tcW w:w="107" w:type="dxa"/>
            <w:tcBorders/>
            <w:vAlign w:val="bottom"/>
          </w:tcPr>
          <w:p>
            <w:pPr>
              <w:pStyle w:val="TableContents"/>
              <w:bidi w:val="0"/>
              <w:spacing w:before="0" w:after="283"/>
              <w:jc w:val="left"/>
              <w:rPr/>
            </w:pPr>
            <w:r>
              <w:rPr/>
              <w:t> </w:t>
            </w:r>
          </w:p>
        </w:tc>
        <w:tc>
          <w:tcPr>
            <w:tcW w:w="4984"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Jaime Martínez Merla</w:t>
            </w:r>
          </w:p>
        </w:tc>
      </w:tr>
      <w:tr>
        <w:trPr/>
        <w:tc>
          <w:tcPr>
            <w:tcW w:w="416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Name:</w:t>
            </w:r>
          </w:p>
        </w:tc>
        <w:tc>
          <w:tcPr>
            <w:tcW w:w="107" w:type="dxa"/>
            <w:tcBorders/>
            <w:vAlign w:val="bottom"/>
          </w:tcPr>
          <w:p>
            <w:pPr>
              <w:pStyle w:val="TableContents"/>
              <w:bidi w:val="0"/>
              <w:spacing w:before="0" w:after="283"/>
              <w:jc w:val="left"/>
              <w:rPr/>
            </w:pPr>
            <w:r>
              <w:rPr/>
              <w:t> </w:t>
            </w:r>
          </w:p>
        </w:tc>
        <w:tc>
          <w:tcPr>
            <w:tcW w:w="4285" w:type="dxa"/>
            <w:tcBorders/>
          </w:tcPr>
          <w:p>
            <w:pPr>
              <w:pStyle w:val="TableContents"/>
              <w:bidi w:val="0"/>
              <w:spacing w:before="0" w:after="283"/>
              <w:jc w:val="left"/>
              <w:rPr/>
            </w:pPr>
            <w:r>
              <w:rPr/>
              <w:t>Jaime Martínez Merla</w:t>
            </w:r>
          </w:p>
        </w:tc>
      </w:tr>
      <w:tr>
        <w:trPr/>
        <w:tc>
          <w:tcPr>
            <w:tcW w:w="4163"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91"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346" w:type="dxa"/>
            <w:tcBorders/>
          </w:tcPr>
          <w:p>
            <w:pPr>
              <w:pStyle w:val="TableContents"/>
              <w:bidi w:val="0"/>
              <w:spacing w:before="0" w:after="283"/>
              <w:jc w:val="left"/>
              <w:rPr>
                <w:sz w:val="4"/>
                <w:szCs w:val="4"/>
              </w:rPr>
            </w:pPr>
            <w:r>
              <w:rPr>
                <w:sz w:val="4"/>
                <w:szCs w:val="4"/>
              </w:rPr>
            </w:r>
          </w:p>
        </w:tc>
        <w:tc>
          <w:tcPr>
            <w:tcW w:w="107" w:type="dxa"/>
            <w:tcBorders/>
            <w:vAlign w:val="bottom"/>
          </w:tcPr>
          <w:p>
            <w:pPr>
              <w:pStyle w:val="TableContents"/>
              <w:bidi w:val="0"/>
              <w:spacing w:before="0" w:after="283"/>
              <w:jc w:val="left"/>
              <w:rPr/>
            </w:pPr>
            <w:r>
              <w:rPr/>
              <w:t> </w:t>
            </w:r>
          </w:p>
        </w:tc>
        <w:tc>
          <w:tcPr>
            <w:tcW w:w="592" w:type="dxa"/>
            <w:tcBorders/>
          </w:tcPr>
          <w:p>
            <w:pPr>
              <w:pStyle w:val="TableContents"/>
              <w:bidi w:val="0"/>
              <w:spacing w:before="0" w:after="283"/>
              <w:jc w:val="left"/>
              <w:rPr/>
            </w:pPr>
            <w:r>
              <w:rPr/>
              <w:t>Title:</w:t>
            </w:r>
          </w:p>
        </w:tc>
        <w:tc>
          <w:tcPr>
            <w:tcW w:w="107" w:type="dxa"/>
            <w:tcBorders/>
            <w:vAlign w:val="bottom"/>
          </w:tcPr>
          <w:p>
            <w:pPr>
              <w:pStyle w:val="TableContents"/>
              <w:bidi w:val="0"/>
              <w:spacing w:before="0" w:after="283"/>
              <w:jc w:val="left"/>
              <w:rPr/>
            </w:pPr>
            <w:r>
              <w:rPr/>
              <w:t> </w:t>
            </w:r>
          </w:p>
        </w:tc>
        <w:tc>
          <w:tcPr>
            <w:tcW w:w="4285" w:type="dxa"/>
            <w:tcBorders/>
          </w:tcPr>
          <w:p>
            <w:pPr>
              <w:pStyle w:val="TableContents"/>
              <w:bidi w:val="0"/>
              <w:spacing w:before="0" w:after="283"/>
              <w:jc w:val="left"/>
              <w:rPr/>
            </w:pPr>
            <w:r>
              <w:rPr/>
              <w:t>Chief Comptroller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EXHIBIT INDEX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016"/>
        <w:gridCol w:w="712"/>
        <w:gridCol w:w="8477"/>
      </w:tblGrid>
      <w:tr>
        <w:trPr/>
        <w:tc>
          <w:tcPr>
            <w:tcW w:w="1016" w:type="dxa"/>
            <w:tcBorders/>
            <w:vAlign w:val="center"/>
          </w:tcPr>
          <w:p>
            <w:pPr>
              <w:pStyle w:val="TableContents"/>
              <w:bidi w:val="0"/>
              <w:spacing w:before="0" w:after="283"/>
              <w:jc w:val="left"/>
              <w:rPr>
                <w:sz w:val="4"/>
                <w:szCs w:val="4"/>
              </w:rPr>
            </w:pPr>
            <w:r>
              <w:rPr>
                <w:sz w:val="4"/>
                <w:szCs w:val="4"/>
              </w:rPr>
            </w:r>
          </w:p>
        </w:tc>
        <w:tc>
          <w:tcPr>
            <w:tcW w:w="712" w:type="dxa"/>
            <w:tcBorders/>
            <w:vAlign w:val="bottom"/>
          </w:tcPr>
          <w:p>
            <w:pPr>
              <w:pStyle w:val="TableContents"/>
              <w:bidi w:val="0"/>
              <w:spacing w:before="0" w:after="283"/>
              <w:jc w:val="left"/>
              <w:rPr>
                <w:sz w:val="4"/>
                <w:szCs w:val="4"/>
              </w:rPr>
            </w:pPr>
            <w:r>
              <w:rPr>
                <w:sz w:val="4"/>
                <w:szCs w:val="4"/>
              </w:rPr>
            </w:r>
          </w:p>
        </w:tc>
        <w:tc>
          <w:tcPr>
            <w:tcW w:w="8477" w:type="dxa"/>
            <w:tcBorders/>
            <w:vAlign w:val="center"/>
          </w:tcPr>
          <w:p>
            <w:pPr>
              <w:pStyle w:val="TableContents"/>
              <w:bidi w:val="0"/>
              <w:spacing w:before="0" w:after="283"/>
              <w:jc w:val="left"/>
              <w:rPr>
                <w:sz w:val="4"/>
                <w:szCs w:val="4"/>
              </w:rPr>
            </w:pPr>
            <w:r>
              <w:rPr>
                <w:sz w:val="4"/>
                <w:szCs w:val="4"/>
              </w:rPr>
            </w:r>
          </w:p>
        </w:tc>
      </w:tr>
      <w:tr>
        <w:trPr/>
        <w:tc>
          <w:tcPr>
            <w:tcW w:w="1016" w:type="dxa"/>
            <w:tcBorders>
              <w:bottom w:val="single" w:sz="8" w:space="0" w:color="000000"/>
            </w:tcBorders>
            <w:tcMar>
              <w:bottom w:w="28" w:type="dxa"/>
            </w:tcMar>
            <w:vAlign w:val="bottom"/>
          </w:tcPr>
          <w:p>
            <w:pPr>
              <w:pStyle w:val="TableContents"/>
              <w:bidi w:val="0"/>
              <w:spacing w:before="0" w:after="283"/>
              <w:jc w:val="center"/>
              <w:rPr/>
            </w:pPr>
            <w:r>
              <w:rPr/>
              <w:t>EXHIBIT</w:t>
              <w:br/>
              <w:t>NO.</w:t>
            </w:r>
          </w:p>
        </w:tc>
        <w:tc>
          <w:tcPr>
            <w:tcW w:w="712" w:type="dxa"/>
            <w:tcBorders/>
            <w:vAlign w:val="bottom"/>
          </w:tcPr>
          <w:p>
            <w:pPr>
              <w:pStyle w:val="TableContents"/>
              <w:bidi w:val="0"/>
              <w:spacing w:before="0" w:after="283"/>
              <w:jc w:val="left"/>
              <w:rPr/>
            </w:pPr>
            <w:r>
              <w:rPr/>
              <w:t>  </w:t>
            </w:r>
          </w:p>
        </w:tc>
        <w:tc>
          <w:tcPr>
            <w:tcW w:w="8477" w:type="dxa"/>
            <w:tcBorders>
              <w:bottom w:val="single" w:sz="8" w:space="0" w:color="000000"/>
            </w:tcBorders>
            <w:tcMar>
              <w:bottom w:w="28" w:type="dxa"/>
            </w:tcMar>
            <w:vAlign w:val="bottom"/>
          </w:tcPr>
          <w:p>
            <w:pPr>
              <w:pStyle w:val="TableContents"/>
              <w:bidi w:val="0"/>
              <w:spacing w:before="0" w:after="20"/>
              <w:jc w:val="center"/>
              <w:rPr>
                <w:rFonts w:ascii="Times New Roman" w:hAnsi="Times New Roman"/>
                <w:sz w:val="16"/>
              </w:rPr>
            </w:pPr>
            <w:r>
              <w:rPr>
                <w:rFonts w:ascii="Times New Roman" w:hAnsi="Times New Roman"/>
                <w:sz w:val="16"/>
              </w:rPr>
              <w:t>DESCRIPTION</w:t>
            </w:r>
          </w:p>
        </w:tc>
      </w:tr>
      <w:tr>
        <w:trPr>
          <w:trHeight w:val="120" w:hRule="atLeast"/>
        </w:trPr>
        <w:tc>
          <w:tcPr>
            <w:tcW w:w="1016" w:type="dxa"/>
            <w:tcBorders/>
            <w:vAlign w:val="center"/>
          </w:tcPr>
          <w:p>
            <w:pPr>
              <w:pStyle w:val="TableContents"/>
              <w:bidi w:val="0"/>
              <w:spacing w:before="0" w:after="283"/>
              <w:jc w:val="left"/>
              <w:rPr>
                <w:sz w:val="4"/>
                <w:szCs w:val="4"/>
              </w:rPr>
            </w:pPr>
            <w:r>
              <w:rPr>
                <w:sz w:val="4"/>
                <w:szCs w:val="4"/>
              </w:rPr>
            </w:r>
          </w:p>
        </w:tc>
        <w:tc>
          <w:tcPr>
            <w:tcW w:w="9189" w:type="dxa"/>
            <w:gridSpan w:val="2"/>
            <w:tcBorders/>
            <w:vAlign w:val="center"/>
          </w:tcPr>
          <w:p>
            <w:pPr>
              <w:pStyle w:val="TableContents"/>
              <w:bidi w:val="0"/>
              <w:spacing w:before="0" w:after="283"/>
              <w:jc w:val="left"/>
              <w:rPr>
                <w:sz w:val="4"/>
                <w:szCs w:val="4"/>
              </w:rPr>
            </w:pPr>
            <w:r>
              <w:rPr>
                <w:sz w:val="4"/>
                <w:szCs w:val="4"/>
              </w:rPr>
            </w:r>
          </w:p>
        </w:tc>
      </w:tr>
      <w:tr>
        <w:trPr/>
        <w:tc>
          <w:tcPr>
            <w:tcW w:w="1016" w:type="dxa"/>
            <w:tcBorders/>
          </w:tcPr>
          <w:p>
            <w:pPr>
              <w:pStyle w:val="TableContents"/>
              <w:bidi w:val="0"/>
              <w:spacing w:before="0" w:after="283"/>
              <w:jc w:val="left"/>
              <w:rPr/>
            </w:pPr>
            <w:r>
              <w:rPr/>
              <w:t>1.</w:t>
            </w:r>
          </w:p>
        </w:tc>
        <w:tc>
          <w:tcPr>
            <w:tcW w:w="712" w:type="dxa"/>
            <w:tcBorders/>
            <w:vAlign w:val="bottom"/>
          </w:tcPr>
          <w:p>
            <w:pPr>
              <w:pStyle w:val="TableContents"/>
              <w:bidi w:val="0"/>
              <w:spacing w:before="0" w:after="283"/>
              <w:jc w:val="left"/>
              <w:rPr/>
            </w:pPr>
            <w:r>
              <w:rPr/>
              <w:t>  </w:t>
            </w:r>
          </w:p>
        </w:tc>
        <w:tc>
          <w:tcPr>
            <w:tcW w:w="8477" w:type="dxa"/>
            <w:tcBorders/>
          </w:tcPr>
          <w:p>
            <w:pPr>
              <w:pStyle w:val="TableContents"/>
              <w:bidi w:val="0"/>
              <w:spacing w:before="0" w:after="283"/>
              <w:jc w:val="left"/>
              <w:rPr/>
            </w:pPr>
            <w:hyperlink w:anchor="d145403dex1.htm">
              <w:r>
                <w:rPr>
                  <w:rStyle w:val="InternetLink"/>
                </w:rPr>
                <w:t xml:space="preserve">Invitation from Cemex, S.A.B. de C.V. (“Cemex”) (NYSE: CX), dated October 19, 2026, announcing that it will report its third quarter 2026 results on Monday, October  26, 2026, and host a conference call and live audio webcast presentation to discuss the results on the same date at 11:00 am. U.S. Eastern Time (09:00 a.m. Mexico Central Time). Cemex’s live presentation can be accessed, and dial-in information is available, at www.cemex.com. </w:t>
              </w:r>
            </w:hyperlink>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p>
    <w:p>
      <w:pPr>
        <w:pStyle w:val="TextBody"/>
        <w:bidi w:val="0"/>
        <w:spacing w:before="0" w:after="0"/>
        <w:jc w:val="right"/>
        <w:rPr>
          <w:rFonts w:ascii="Times New Roman" w:hAnsi="Times New Roman"/>
          <w:b/>
          <w:sz w:val="20"/>
        </w:rPr>
      </w:pPr>
      <w:bookmarkStart w:id="2" w:name="d145403dex1.htm"/>
      <w:bookmarkStart w:id="3" w:name="ksd145403dex1"/>
      <w:bookmarkEnd w:id="2"/>
      <w:bookmarkEnd w:id="3"/>
      <w:r>
        <w:rPr>
          <w:rFonts w:ascii="Times New Roman" w:hAnsi="Times New Roman"/>
          <w:b/>
          <w:sz w:val="20"/>
        </w:rPr>
        <w:t xml:space="preserve">Exhibit 1 </w:t>
      </w:r>
      <w:r>
        <w:br w:type="page"/>
      </w:r>
    </w:p>
    <w:p>
      <w:pPr>
        <w:pStyle w:val="TextBody"/>
        <w:bidi w:val="0"/>
        <w:spacing w:before="0" w:after="0"/>
        <w:jc w:val="left"/>
        <w:rPr/>
      </w:pPr>
      <w:r>
        <w:rPr/>
        <w:t> </w:t>
      </w:r>
    </w:p>
    <w:p>
      <w:pPr>
        <w:pStyle w:val="TextBody"/>
        <w:bidi w:val="0"/>
        <w:spacing w:before="0" w:after="0"/>
        <w:jc w:val="center"/>
        <w:rPr/>
      </w:pPr>
      <w:r>
        <w:rPr/>
        <w:drawing>
          <wp:inline distT="0" distB="0" distL="0" distR="0">
            <wp:extent cx="2457450" cy="7239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57450" cy="72390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sz w:val="20"/>
        </w:rPr>
      </w:pPr>
      <w:r>
        <w:rPr>
          <w:rFonts w:ascii="Times New Roman" w:hAnsi="Times New Roman"/>
          <w:sz w:val="20"/>
        </w:rPr>
        <w:t xml:space="preserve">Cemex cordially invites you </w:t>
      </w:r>
    </w:p>
    <w:p>
      <w:pPr>
        <w:pStyle w:val="TextBody"/>
        <w:bidi w:val="0"/>
        <w:spacing w:before="0" w:after="0"/>
        <w:jc w:val="center"/>
        <w:rPr>
          <w:rFonts w:ascii="Times New Roman" w:hAnsi="Times New Roman"/>
          <w:sz w:val="20"/>
        </w:rPr>
      </w:pPr>
      <w:r>
        <w:rPr>
          <w:rFonts w:ascii="Times New Roman" w:hAnsi="Times New Roman"/>
          <w:sz w:val="20"/>
        </w:rPr>
        <w:t xml:space="preserve">to the third quarter conference call </w:t>
      </w:r>
    </w:p>
    <w:p>
      <w:pPr>
        <w:pStyle w:val="TextBody"/>
        <w:bidi w:val="0"/>
        <w:spacing w:before="240" w:after="0"/>
        <w:jc w:val="center"/>
        <w:rPr>
          <w:rFonts w:ascii="Times New Roman" w:hAnsi="Times New Roman"/>
          <w:sz w:val="20"/>
        </w:rPr>
      </w:pPr>
      <w:r>
        <w:rPr>
          <w:rFonts w:ascii="Times New Roman" w:hAnsi="Times New Roman"/>
          <w:sz w:val="20"/>
        </w:rPr>
        <w:t xml:space="preserve">Our conference call will include a live audio webcast and presentation, both </w:t>
      </w:r>
    </w:p>
    <w:p>
      <w:pPr>
        <w:pStyle w:val="TextBody"/>
        <w:bidi w:val="0"/>
        <w:spacing w:before="0" w:after="0"/>
        <w:jc w:val="center"/>
        <w:rPr>
          <w:rFonts w:ascii="Times New Roman" w:hAnsi="Times New Roman"/>
          <w:sz w:val="20"/>
        </w:rPr>
      </w:pPr>
      <w:r>
        <w:rPr>
          <w:rFonts w:ascii="Times New Roman" w:hAnsi="Times New Roman"/>
          <w:sz w:val="20"/>
        </w:rPr>
        <w:t xml:space="preserve">available at www.cemex.com. Participants will be able to ask questions by phone </w:t>
      </w:r>
    </w:p>
    <w:p>
      <w:pPr>
        <w:pStyle w:val="TextBody"/>
        <w:bidi w:val="0"/>
        <w:spacing w:before="0" w:after="0"/>
        <w:jc w:val="center"/>
        <w:rPr>
          <w:rFonts w:ascii="Times New Roman" w:hAnsi="Times New Roman"/>
          <w:sz w:val="20"/>
        </w:rPr>
      </w:pPr>
      <w:r>
        <w:rPr>
          <w:rFonts w:ascii="Times New Roman" w:hAnsi="Times New Roman"/>
          <w:sz w:val="20"/>
        </w:rPr>
        <w:t xml:space="preserve">or through the webcast.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2885"/>
        <w:gridCol w:w="120"/>
        <w:gridCol w:w="7200"/>
      </w:tblGrid>
      <w:tr>
        <w:trPr/>
        <w:tc>
          <w:tcPr>
            <w:tcW w:w="2885" w:type="dxa"/>
            <w:tcBorders/>
            <w:vAlign w:val="center"/>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sz w:val="4"/>
                <w:szCs w:val="4"/>
              </w:rPr>
            </w:pPr>
            <w:r>
              <w:rPr>
                <w:sz w:val="4"/>
                <w:szCs w:val="4"/>
              </w:rPr>
            </w:r>
          </w:p>
        </w:tc>
        <w:tc>
          <w:tcPr>
            <w:tcW w:w="7200" w:type="dxa"/>
            <w:tcBorders/>
            <w:vAlign w:val="center"/>
          </w:tcPr>
          <w:p>
            <w:pPr>
              <w:pStyle w:val="TableContents"/>
              <w:bidi w:val="0"/>
              <w:spacing w:before="0" w:after="283"/>
              <w:jc w:val="left"/>
              <w:rPr>
                <w:sz w:val="4"/>
                <w:szCs w:val="4"/>
              </w:rPr>
            </w:pPr>
            <w:r>
              <w:rPr>
                <w:sz w:val="4"/>
                <w:szCs w:val="4"/>
              </w:rPr>
            </w:r>
          </w:p>
        </w:tc>
      </w:tr>
      <w:tr>
        <w:trPr/>
        <w:tc>
          <w:tcPr>
            <w:tcW w:w="2885" w:type="dxa"/>
            <w:tcBorders/>
          </w:tcPr>
          <w:p>
            <w:pPr>
              <w:pStyle w:val="TableContents"/>
              <w:bidi w:val="0"/>
              <w:spacing w:before="0" w:after="283"/>
              <w:jc w:val="left"/>
              <w:rPr/>
            </w:pPr>
            <w:r>
              <w:rPr/>
              <w:t>Hosts:</w:t>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pPr>
            <w:r>
              <w:rPr/>
              <w:t>Jaime Muguiro</w:t>
            </w:r>
          </w:p>
        </w:tc>
      </w:tr>
      <w:tr>
        <w:trPr/>
        <w:tc>
          <w:tcPr>
            <w:tcW w:w="28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i/>
              </w:rPr>
            </w:pPr>
            <w:r>
              <w:rPr>
                <w:i/>
              </w:rPr>
              <w:t>Chief Executive Officer (CEO)</w:t>
            </w:r>
          </w:p>
        </w:tc>
      </w:tr>
      <w:tr>
        <w:trPr/>
        <w:tc>
          <w:tcPr>
            <w:tcW w:w="28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pPr>
            <w:r>
              <w:rPr/>
              <w:t>Maher Al-Haffar</w:t>
            </w:r>
          </w:p>
        </w:tc>
      </w:tr>
      <w:tr>
        <w:trPr/>
        <w:tc>
          <w:tcPr>
            <w:tcW w:w="28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i/>
              </w:rPr>
            </w:pPr>
            <w:r>
              <w:rPr>
                <w:i/>
              </w:rPr>
              <w:t>Executive Vice President of Finance and Administration (CFO)</w:t>
            </w:r>
          </w:p>
        </w:tc>
      </w:tr>
      <w:tr>
        <w:trPr/>
        <w:tc>
          <w:tcPr>
            <w:tcW w:w="28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pPr>
            <w:r>
              <w:rPr/>
              <w:t>Lucy Rodriguez</w:t>
            </w:r>
          </w:p>
        </w:tc>
      </w:tr>
      <w:tr>
        <w:trPr/>
        <w:tc>
          <w:tcPr>
            <w:tcW w:w="28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i/>
              </w:rPr>
            </w:pPr>
            <w:r>
              <w:rPr>
                <w:i/>
              </w:rPr>
              <w:t>Executive Vice President of Investor Relations, Corporate Communications and Public Affairs</w:t>
            </w:r>
          </w:p>
        </w:tc>
      </w:tr>
      <w:tr>
        <w:trPr>
          <w:trHeight w:val="120" w:hRule="atLeast"/>
        </w:trPr>
        <w:tc>
          <w:tcPr>
            <w:tcW w:w="2885" w:type="dxa"/>
            <w:tcBorders/>
            <w:vAlign w:val="center"/>
          </w:tcPr>
          <w:p>
            <w:pPr>
              <w:pStyle w:val="TableContents"/>
              <w:bidi w:val="0"/>
              <w:spacing w:before="0" w:after="283"/>
              <w:jc w:val="left"/>
              <w:rPr>
                <w:sz w:val="4"/>
                <w:szCs w:val="4"/>
              </w:rPr>
            </w:pPr>
            <w:r>
              <w:rPr>
                <w:sz w:val="4"/>
                <w:szCs w:val="4"/>
              </w:rPr>
            </w:r>
          </w:p>
        </w:tc>
        <w:tc>
          <w:tcPr>
            <w:tcW w:w="7320" w:type="dxa"/>
            <w:gridSpan w:val="2"/>
            <w:tcBorders/>
            <w:vAlign w:val="center"/>
          </w:tcPr>
          <w:p>
            <w:pPr>
              <w:pStyle w:val="TableContents"/>
              <w:bidi w:val="0"/>
              <w:spacing w:before="0" w:after="283"/>
              <w:jc w:val="left"/>
              <w:rPr>
                <w:sz w:val="4"/>
                <w:szCs w:val="4"/>
              </w:rPr>
            </w:pPr>
            <w:r>
              <w:rPr>
                <w:sz w:val="4"/>
                <w:szCs w:val="4"/>
              </w:rPr>
            </w:r>
          </w:p>
        </w:tc>
      </w:tr>
      <w:tr>
        <w:trPr/>
        <w:tc>
          <w:tcPr>
            <w:tcW w:w="2885" w:type="dxa"/>
            <w:tcBorders/>
          </w:tcPr>
          <w:p>
            <w:pPr>
              <w:pStyle w:val="TableContents"/>
              <w:bidi w:val="0"/>
              <w:spacing w:before="0" w:after="283"/>
              <w:jc w:val="left"/>
              <w:rPr/>
            </w:pPr>
            <w:r>
              <w:rPr/>
              <w:t>Date and time:</w:t>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pPr>
            <w:r>
              <w:rPr/>
              <w:t>Monday, October 26th, 2026-11:00 A.M. ET</w:t>
            </w:r>
          </w:p>
        </w:tc>
      </w:tr>
      <w:tr>
        <w:trPr>
          <w:trHeight w:val="120" w:hRule="atLeast"/>
        </w:trPr>
        <w:tc>
          <w:tcPr>
            <w:tcW w:w="2885" w:type="dxa"/>
            <w:tcBorders/>
            <w:vAlign w:val="center"/>
          </w:tcPr>
          <w:p>
            <w:pPr>
              <w:pStyle w:val="TableContents"/>
              <w:bidi w:val="0"/>
              <w:spacing w:before="0" w:after="283"/>
              <w:jc w:val="left"/>
              <w:rPr>
                <w:sz w:val="4"/>
                <w:szCs w:val="4"/>
              </w:rPr>
            </w:pPr>
            <w:r>
              <w:rPr>
                <w:sz w:val="4"/>
                <w:szCs w:val="4"/>
              </w:rPr>
            </w:r>
          </w:p>
        </w:tc>
        <w:tc>
          <w:tcPr>
            <w:tcW w:w="7320" w:type="dxa"/>
            <w:gridSpan w:val="2"/>
            <w:tcBorders/>
            <w:vAlign w:val="center"/>
          </w:tcPr>
          <w:p>
            <w:pPr>
              <w:pStyle w:val="TableContents"/>
              <w:bidi w:val="0"/>
              <w:spacing w:before="0" w:after="283"/>
              <w:jc w:val="left"/>
              <w:rPr>
                <w:sz w:val="4"/>
                <w:szCs w:val="4"/>
              </w:rPr>
            </w:pPr>
            <w:r>
              <w:rPr>
                <w:sz w:val="4"/>
                <w:szCs w:val="4"/>
              </w:rPr>
            </w:r>
          </w:p>
        </w:tc>
      </w:tr>
      <w:tr>
        <w:trPr/>
        <w:tc>
          <w:tcPr>
            <w:tcW w:w="2885" w:type="dxa"/>
            <w:tcBorders/>
          </w:tcPr>
          <w:p>
            <w:pPr>
              <w:pStyle w:val="TableContents"/>
              <w:bidi w:val="0"/>
              <w:spacing w:before="0" w:after="283"/>
              <w:jc w:val="left"/>
              <w:rPr/>
            </w:pPr>
            <w:r>
              <w:rPr/>
              <w:t>Dial-in Numbers:</w:t>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sz w:val="4"/>
                <w:szCs w:val="4"/>
              </w:rPr>
            </w:pPr>
            <w:r>
              <w:rPr>
                <w:sz w:val="4"/>
                <w:szCs w:val="4"/>
              </w:rPr>
            </w:r>
          </w:p>
        </w:tc>
      </w:tr>
      <w:tr>
        <w:trPr/>
        <w:tc>
          <w:tcPr>
            <w:tcW w:w="28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pPr>
            <w:r>
              <w:rPr/>
              <w:t>Mexico (Toll-Free): +52 800 910 6805</w:t>
            </w:r>
          </w:p>
        </w:tc>
      </w:tr>
      <w:tr>
        <w:trPr>
          <w:trHeight w:val="120" w:hRule="atLeast"/>
        </w:trPr>
        <w:tc>
          <w:tcPr>
            <w:tcW w:w="2885" w:type="dxa"/>
            <w:tcBorders/>
            <w:vAlign w:val="center"/>
          </w:tcPr>
          <w:p>
            <w:pPr>
              <w:pStyle w:val="TableContents"/>
              <w:bidi w:val="0"/>
              <w:spacing w:before="0" w:after="283"/>
              <w:jc w:val="left"/>
              <w:rPr>
                <w:sz w:val="4"/>
                <w:szCs w:val="4"/>
              </w:rPr>
            </w:pPr>
            <w:r>
              <w:rPr>
                <w:sz w:val="4"/>
                <w:szCs w:val="4"/>
              </w:rPr>
            </w:r>
          </w:p>
        </w:tc>
        <w:tc>
          <w:tcPr>
            <w:tcW w:w="7320" w:type="dxa"/>
            <w:gridSpan w:val="2"/>
            <w:tcBorders/>
            <w:vAlign w:val="center"/>
          </w:tcPr>
          <w:p>
            <w:pPr>
              <w:pStyle w:val="TableContents"/>
              <w:bidi w:val="0"/>
              <w:spacing w:before="0" w:after="283"/>
              <w:jc w:val="left"/>
              <w:rPr>
                <w:sz w:val="4"/>
                <w:szCs w:val="4"/>
              </w:rPr>
            </w:pPr>
            <w:r>
              <w:rPr>
                <w:sz w:val="4"/>
                <w:szCs w:val="4"/>
              </w:rPr>
            </w:r>
          </w:p>
        </w:tc>
      </w:tr>
      <w:tr>
        <w:trPr/>
        <w:tc>
          <w:tcPr>
            <w:tcW w:w="28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pPr>
            <w:r>
              <w:rPr/>
              <w:t>North America (Toll-Free): +1 833-461-5787</w:t>
            </w:r>
          </w:p>
        </w:tc>
      </w:tr>
      <w:tr>
        <w:trPr>
          <w:trHeight w:val="120" w:hRule="atLeast"/>
        </w:trPr>
        <w:tc>
          <w:tcPr>
            <w:tcW w:w="2885" w:type="dxa"/>
            <w:tcBorders/>
            <w:vAlign w:val="center"/>
          </w:tcPr>
          <w:p>
            <w:pPr>
              <w:pStyle w:val="TableContents"/>
              <w:bidi w:val="0"/>
              <w:spacing w:before="0" w:after="283"/>
              <w:jc w:val="left"/>
              <w:rPr>
                <w:sz w:val="4"/>
                <w:szCs w:val="4"/>
              </w:rPr>
            </w:pPr>
            <w:r>
              <w:rPr>
                <w:sz w:val="4"/>
                <w:szCs w:val="4"/>
              </w:rPr>
            </w:r>
          </w:p>
        </w:tc>
        <w:tc>
          <w:tcPr>
            <w:tcW w:w="7320" w:type="dxa"/>
            <w:gridSpan w:val="2"/>
            <w:tcBorders/>
            <w:vAlign w:val="center"/>
          </w:tcPr>
          <w:p>
            <w:pPr>
              <w:pStyle w:val="TableContents"/>
              <w:bidi w:val="0"/>
              <w:spacing w:before="0" w:after="283"/>
              <w:jc w:val="left"/>
              <w:rPr>
                <w:sz w:val="4"/>
                <w:szCs w:val="4"/>
              </w:rPr>
            </w:pPr>
            <w:r>
              <w:rPr>
                <w:sz w:val="4"/>
                <w:szCs w:val="4"/>
              </w:rPr>
            </w:r>
          </w:p>
        </w:tc>
      </w:tr>
      <w:tr>
        <w:trPr/>
        <w:tc>
          <w:tcPr>
            <w:tcW w:w="2885" w:type="dxa"/>
            <w:tcBorders/>
          </w:tcPr>
          <w:p>
            <w:pPr>
              <w:pStyle w:val="TableContents"/>
              <w:bidi w:val="0"/>
              <w:spacing w:before="0" w:after="283"/>
              <w:jc w:val="left"/>
              <w:rPr>
                <w:sz w:val="4"/>
                <w:szCs w:val="4"/>
              </w:rPr>
            </w:pPr>
            <w:r>
              <w:rPr>
                <w:sz w:val="4"/>
                <w:szCs w:val="4"/>
              </w:rPr>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pPr>
            <w:r>
              <w:rPr/>
              <w:t>International (Toll): +1 585-542-9983</w:t>
            </w:r>
          </w:p>
        </w:tc>
      </w:tr>
      <w:tr>
        <w:trPr>
          <w:trHeight w:val="120" w:hRule="atLeast"/>
        </w:trPr>
        <w:tc>
          <w:tcPr>
            <w:tcW w:w="2885" w:type="dxa"/>
            <w:tcBorders/>
            <w:vAlign w:val="center"/>
          </w:tcPr>
          <w:p>
            <w:pPr>
              <w:pStyle w:val="TableContents"/>
              <w:bidi w:val="0"/>
              <w:spacing w:before="0" w:after="283"/>
              <w:jc w:val="left"/>
              <w:rPr>
                <w:sz w:val="4"/>
                <w:szCs w:val="4"/>
              </w:rPr>
            </w:pPr>
            <w:r>
              <w:rPr>
                <w:sz w:val="4"/>
                <w:szCs w:val="4"/>
              </w:rPr>
            </w:r>
          </w:p>
        </w:tc>
        <w:tc>
          <w:tcPr>
            <w:tcW w:w="7320" w:type="dxa"/>
            <w:gridSpan w:val="2"/>
            <w:tcBorders/>
            <w:vAlign w:val="center"/>
          </w:tcPr>
          <w:p>
            <w:pPr>
              <w:pStyle w:val="TableContents"/>
              <w:bidi w:val="0"/>
              <w:spacing w:before="0" w:after="283"/>
              <w:jc w:val="left"/>
              <w:rPr>
                <w:sz w:val="4"/>
                <w:szCs w:val="4"/>
              </w:rPr>
            </w:pPr>
            <w:r>
              <w:rPr>
                <w:sz w:val="4"/>
                <w:szCs w:val="4"/>
              </w:rPr>
            </w:r>
          </w:p>
        </w:tc>
      </w:tr>
      <w:tr>
        <w:trPr/>
        <w:tc>
          <w:tcPr>
            <w:tcW w:w="2885" w:type="dxa"/>
            <w:tcBorders/>
          </w:tcPr>
          <w:p>
            <w:pPr>
              <w:pStyle w:val="TableContents"/>
              <w:bidi w:val="0"/>
              <w:spacing w:before="0" w:after="283"/>
              <w:jc w:val="left"/>
              <w:rPr/>
            </w:pPr>
            <w:r>
              <w:rPr/>
              <w:t>Meeting ID:</w:t>
            </w:r>
          </w:p>
        </w:tc>
        <w:tc>
          <w:tcPr>
            <w:tcW w:w="120" w:type="dxa"/>
            <w:tcBorders/>
            <w:vAlign w:val="bottom"/>
          </w:tcPr>
          <w:p>
            <w:pPr>
              <w:pStyle w:val="TableContents"/>
              <w:bidi w:val="0"/>
              <w:spacing w:before="0" w:after="283"/>
              <w:jc w:val="left"/>
              <w:rPr/>
            </w:pPr>
            <w:r>
              <w:rPr/>
              <w:t>  </w:t>
            </w:r>
          </w:p>
        </w:tc>
        <w:tc>
          <w:tcPr>
            <w:tcW w:w="7200" w:type="dxa"/>
            <w:tcBorders/>
          </w:tcPr>
          <w:p>
            <w:pPr>
              <w:pStyle w:val="TableContents"/>
              <w:bidi w:val="0"/>
              <w:spacing w:before="0" w:after="283"/>
              <w:jc w:val="left"/>
              <w:rPr/>
            </w:pPr>
            <w:r>
              <w:rPr/>
              <w:t>147178327</w:t>
            </w:r>
          </w:p>
        </w:tc>
      </w:tr>
    </w:tbl>
    <w:p>
      <w:pPr>
        <w:pStyle w:val="TextBody"/>
        <w:bidi w:val="0"/>
        <w:spacing w:before="240" w:after="0"/>
        <w:jc w:val="center"/>
        <w:rPr>
          <w:rFonts w:ascii="Times New Roman" w:hAnsi="Times New Roman"/>
          <w:sz w:val="20"/>
        </w:rPr>
      </w:pPr>
      <w:r>
        <w:rPr>
          <w:rFonts w:ascii="Times New Roman" w:hAnsi="Times New Roman"/>
          <w:sz w:val="20"/>
        </w:rPr>
        <w:t xml:space="preserve">Please dial in/sign up 10-15 minutes prior to the scheduled start time. </w:t>
      </w:r>
    </w:p>
    <w:p>
      <w:pPr>
        <w:pStyle w:val="TextBody"/>
        <w:bidi w:val="0"/>
        <w:spacing w:before="240" w:after="0"/>
        <w:jc w:val="center"/>
        <w:rPr>
          <w:rFonts w:ascii="Times New Roman" w:hAnsi="Times New Roman"/>
          <w:sz w:val="20"/>
        </w:rPr>
      </w:pPr>
      <w:r>
        <w:rPr>
          <w:rFonts w:ascii="Times New Roman" w:hAnsi="Times New Roman"/>
          <w:sz w:val="20"/>
        </w:rPr>
        <w:t xml:space="preserve">If you have any questions, please call Ruth Rosado at Cemex: +1 (212) 317 6011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28750" cy="47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428750" cy="476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CONFERENCE CALL REPLAY </w:t>
      </w:r>
    </w:p>
    <w:p>
      <w:pPr>
        <w:pStyle w:val="TextBody"/>
        <w:bidi w:val="0"/>
        <w:spacing w:before="0" w:after="0"/>
        <w:jc w:val="center"/>
        <w:rPr>
          <w:rFonts w:ascii="Times New Roman" w:hAnsi="Times New Roman"/>
          <w:b/>
          <w:sz w:val="20"/>
        </w:rPr>
      </w:pPr>
      <w:r>
        <w:rPr>
          <w:rFonts w:ascii="Times New Roman" w:hAnsi="Times New Roman"/>
          <w:b/>
          <w:sz w:val="20"/>
        </w:rPr>
        <w:t xml:space="preserve">Continuous playback will be available for your convenience by phone or on-line until November 3rd, 2026, at 1:59 A.M. (ET) </w:t>
      </w:r>
    </w:p>
    <w:p>
      <w:pPr>
        <w:pStyle w:val="TextBody"/>
        <w:bidi w:val="0"/>
        <w:spacing w:before="240" w:after="0"/>
        <w:jc w:val="center"/>
        <w:rPr>
          <w:rFonts w:ascii="Times New Roman" w:hAnsi="Times New Roman"/>
          <w:b/>
          <w:sz w:val="20"/>
        </w:rPr>
      </w:pPr>
      <w:r>
        <w:rPr>
          <w:rFonts w:ascii="Times New Roman" w:hAnsi="Times New Roman"/>
          <w:b/>
          <w:sz w:val="20"/>
        </w:rPr>
        <w:t xml:space="preserve">Playback numbers: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(Local): +1 929 828 5978 </w:t>
      </w:r>
    </w:p>
    <w:p>
      <w:pPr>
        <w:pStyle w:val="TextBody"/>
        <w:bidi w:val="0"/>
        <w:spacing w:before="0" w:after="0"/>
        <w:jc w:val="center"/>
        <w:rPr>
          <w:rFonts w:ascii="Times New Roman" w:hAnsi="Times New Roman"/>
          <w:b/>
          <w:sz w:val="20"/>
        </w:rPr>
      </w:pPr>
      <w:r>
        <w:rPr>
          <w:rFonts w:ascii="Times New Roman" w:hAnsi="Times New Roman"/>
          <w:b/>
          <w:sz w:val="20"/>
        </w:rPr>
        <w:t xml:space="preserve">United States (Toll-Free): +1 833 309 1852 </w:t>
      </w:r>
    </w:p>
    <w:p>
      <w:pPr>
        <w:pStyle w:val="TextBody"/>
        <w:bidi w:val="0"/>
        <w:spacing w:before="0" w:after="0"/>
        <w:jc w:val="center"/>
        <w:rPr>
          <w:rFonts w:ascii="Times New Roman" w:hAnsi="Times New Roman"/>
          <w:b/>
          <w:sz w:val="20"/>
        </w:rPr>
      </w:pPr>
      <w:r>
        <w:rPr>
          <w:rFonts w:ascii="Times New Roman" w:hAnsi="Times New Roman"/>
          <w:b/>
          <w:sz w:val="20"/>
        </w:rPr>
        <w:t xml:space="preserve">Access Code: 147178327 </w:t>
      </w:r>
    </w:p>
    <w:p>
      <w:pPr>
        <w:pStyle w:val="TextBody"/>
        <w:bidi w:val="0"/>
        <w:spacing w:before="240" w:after="0"/>
        <w:jc w:val="left"/>
        <w:rPr>
          <w:rFonts w:ascii="Times New Roman" w:hAnsi="Times New Roman"/>
          <w:i/>
          <w:sz w:val="20"/>
        </w:rPr>
      </w:pPr>
      <w:r>
        <w:rPr>
          <w:rFonts w:ascii="Times New Roman" w:hAnsi="Times New Roman"/>
          <w:i/>
          <w:sz w:val="20"/>
        </w:rPr>
        <w:t xml:space="preserve">While we do not expect any issues during our third quarter 2026 results conference call and audio webcast presentation scheduled for October 26, 2026, we may experience technical difficulties or interruptions that might arise due to unforeseen events or issues beyond our control including, but not limited to, using certain methods for the conference call and audio webcast that we may have not used in the past. All materials related to our third quarter 2026 results, which will include relevant information, are expected to be posted on our website (www.cemex.com) and filed with the Mexican National Banking and Securities Commission (Comisión Nacional Bancaria y de Valores, the “CNBV”), Mexican Stock Exchange (Bolsa Mexicana de Valores, the “BMV”) and U.S. Securities and Exchange Commission (“SEC”) before the conference call and audio webcast presentation. Except as the context otherwise may require, references in this invitation to “we,” “us,” “our,” or similar expressions refer to Cemex, S.A.B. de C.V. (“Cemex”) (NYSE: CX; BMV: CEMEX.CPO) and its consolidated entities. The following applies to this invitation, the third quarter 2026 results conference call, webcast and reports, presentations, and documents presented therein, any oral presentation made therein by us or any person on behalf of us, as well as to any question-and-answer session or related discussion. The information to be disclosed in the conference call and webcast and reports, presentations, and documents presented therein, and the current or future events referenced therein may contain forward-looking statements within the meaning of applicable securities laws and regulations, including but not limited to Section 27A of the Securities Act of 1933, as amended, and Section 21E of the Securities Exchange Act of 1934, as amended. We intend these forward-looking statements to be covered by the “safe harbor” provisions for forward-looking statements within the meaning of applicable securities laws and regulations in all jurisdictions where such provisions exist, including but not limited to the US Private Securities Litigation Reform Act of 1995. These forward-looking statements and information are necessarily subject to risks, uncertainties, and assumptions, including but not limited to statements related to our plans, objectives, and expectations (financial or otherwise), and typically can be identified by the use of words such as, but not limited to, “will”, “may,” “assume,” “might,” “should,” “could,” “continue,” “would,” “can,” “consider,” “anticipate,” “estimate,” “expect,” “envision,” “plan,” “believe,” “foresee,” “predict,” “potential,” “target,” “goal,” “strategy,” “intend,” “aimed”, or other forward-looking words. Although we believe that our expectations are reasonable, we can give no assurance that these expectations will prove to be correct, and actual results, performance and/or achievements may vary, including materially, from historical results, performance and/or achievements or those anticipated by forward-looking statements. Unless otherwise indicated, these forward-looking statements reflect our current expectations and projections about the future based on certain assumptions and on our knowledge of facts and circumstances as of the date such forward-looking statements are made. These forward-looking statements necessarily involve risks, uncertainties, assumptions and other important factors that could cause results and any estimate, projection and/or guidance presented in the reports, presentations, and documents to be disclosed during our third quarter 2026 results conference call and audio webcast to differ materially from historical results, performance and/or achievements or those anticipated by forward-looking statements due to various factors. Among others, such risks, uncertainties, assumptions, and other important factors that could cause results and any estimate, projection and/or guidance presented during the webcast to differ or fail to materialize, or that otherwise could have an impact on us, include those discussed in our most recent annual report and those detailed from time to time in our other filings with SEC, CNBV and the BMV, which factors are incorporated herein by reference, including, but not limited to: changes in general economic, political and social conditions, including government shutdowns, new governments or regimes and decisions implemented by such new governments or regimes, changes in laws or regulations in the countries in which we do business, elections, changes in inflation, interest and foreign exchange rates, employment levels, population growth, any slowdown in the flow of remittances into countries where we operate, consumer confidence and the liquidity of the financial and capital markets in Mexico, the United States of America, the European Union (“EU”), the United Kingdom or other countries in which we operate; the cyclical activity of the construction sector and reduced construction activity in our end markets or reduced use in our end markets for our products; our exposure to sectors that impact our and our clients’ businesses, particularly those operating in the commercial and residential construction sectors, and the public and private infrastructure and energy sectors; volatility in pension plan asset values and liabilities, which may require cash or other contributions to the pension plans; changes in spending levels for residential and commercial construction and general infrastructure projects; the availability of short-term credit lines or working capital facilities, which can assist us in connection with market cycles; any impact of not maintaining investment grade debt rating or not obtaining investment grade debt ratings from additional rating agencies on our cost of capital and on the cost of the products and services we purchase; availability of raw materials and related fluctuating prices of raw materials, as well as of goods and services in general, in particular increases in prices of raw materials, goods and services, as a result of inflation, trade barriers, measures imposed by governments or as a result of conflicts between countries that disrupt supply chains; our ability to maintain and expand our distribution network and maintain favorable relationships with third parties who supply us with equipment, services and essential supplies; competition in the markets in which we offer our products and services; the impact of environmental cleanup costs and other remedial actions, and other environmental, climate and related liabilities relating to existing and/or divested businesses, assets and/or operations; our ability to secure and permit aggregates reserves in strategically located areas in amounts that our operations require to operate or operate in a cost-efficient manner; the timing and amount of federal, state, and local funding for infrastructure; changes in our effective tax rate; our ability to comply with regulations and implement technologies and other initiatives that aim to reduce and/or capture CO2 emissions and comply with related carbon emissions regulations in place in the jurisdictions where we have </w:t>
      </w:r>
    </w:p>
    <w:p>
      <w:pPr>
        <w:pStyle w:val="TextBody"/>
        <w:bidi w:val="0"/>
        <w:spacing w:before="0" w:after="0"/>
        <w:jc w:val="left"/>
        <w:rPr/>
      </w:pPr>
      <w:r>
        <w:rPr/>
        <w:t> </w:t>
      </w:r>
    </w:p>
    <w:p>
      <w:pPr>
        <w:pStyle w:val="TextBody"/>
        <w:bidi w:val="0"/>
        <w:spacing w:before="0" w:after="0"/>
        <w:jc w:val="center"/>
        <w:rPr/>
      </w:pPr>
      <w:r>
        <w:rPr/>
        <w:drawing>
          <wp:inline distT="0" distB="0" distL="0" distR="0">
            <wp:extent cx="7743825" cy="37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7743825" cy="371475"/>
                    </a:xfrm>
                    <a:prstGeom prst="rect">
                      <a:avLst/>
                    </a:prstGeom>
                  </pic:spPr>
                </pic:pic>
              </a:graphicData>
            </a:graphic>
          </wp:inline>
        </w:drawing>
      </w:r>
      <w:r>
        <w:rPr/>
        <w:t xml:space="preserve">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28750" cy="4762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28750" cy="476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operations; the legal and regulatory environment, including environmental, climate, trade, energy, tax, antitrust, sanctions, export controls, construction, human rights and labor welfare, and acquisition-related rules and regulations in the countries and regions in which we have operations; the effects of currency fluctuations on our results of operations and financial condition; our ability to satisfy our obligations under our debt agreements, the indentures that govern our outstanding notes, and our other debt instruments and financial obligations, and also regarding our subordinated notes with no fixed maturity and other financial obligations; adverse legal or regulatory proceedings or disputes, such as class actions or enforcement or other proceedings brought by third parties, government and regulatory agencies, including antitrust investigations and claims; our ability to protect our reputation and intellectual property; our ability to consummate asset sales or consummate asset sales in terms favorable to us, fully integrate newly acquired businesses, achieve cost-savings from our cost-reduction initiatives, implement our pricing and commercial initiatives for our products and services, and generally meet our business strategy’s goals; the increasing reliance on information technology infrastructure for our sales, invoicing, procurement, financial statements, and other processes that can adversely affect our sales and operations in the event that the infrastructure does not work as intended, experiences technical difficulties, or is subjected to invasion, disruption, or damage caused by circumstances beyond our control, including cyber-attacks, catastrophic events, power outages, natural disasters, computer system or network failures, or other security breaches; the effects of climate change, in particular reflected in weather conditions, including but not limited to excessive rain and snow, shortage of usable water, wildfires and natural disasters, such as earthquakes, hurricanes, tornadoes and floods, that could affect our facilities or the markets in which we offer our products and services or from where we source our raw materials; trade barriers, including but not limited to tariffs or import taxes, including those imposed by the United States of America to key markets in which we operate, in particular, Mexico and the EU, and changes in existing trade policies or changes to, or withdrawals from, free trade agreements, including the United States-Mexico-Canada Agreement (the “USMCA”), and the overall impact that the imposition or threat of trade barriers may cause on the overall economy of the countries in which we do business or that are part of our global supply chain; availability and cost of trucks, railcars, barges, and ships, terminals, warehouses, as well as their licensed operators, drivers, staff and workers for transport, loading and unloading of our materials or that are otherwise a part of our supply chain; labor shortages and constraints; our ability to hire, effectively compensate and retain our key personnel and maintain satisfactory labor relations; our ability to detect and prevent money laundering, terrorism financing and corruption, as well as other illegal activities, and how any measures implemented by governments to detect and prevent money laundering, terrorism financing and corruption, and other illegal activities, affect our customers, suppliers and countries in which we do business in general; defaults, losses or disruptions in agreements, financial transactions or operations resulting from sanctions or restrictions imposed on any financial institution, including but not limited to banks, common representatives, trustees, payment processors, paying agents or other financial intermediaries, or any related parties; terrorist and organized criminal activities, social unrest, as well as geopolitical events, such as global, regional or national instability, hostilities, war, and armed conflicts, including the current war between Russia and Ukraine, the ongoing war among Israel, the United States and Iran, conflicts in the Middle East and any insecurity and hostilities in Mexico related to illegal activities or organized crime and any actions any government takes to prevent these illegal activities and organized crime; the impact of pandemics, epidemics, or outbreaks of infectious diseases and the response of governments and other third parties, which could adversely affect, among other matters, the ability of our operating facilities to operate at full or any capacity, supply chains, international operations, availability of liquidity, investor confidence and consumer spending, as well as the availability of, and demand for, our products and services; changes in the economy that affect demand for consumer goods, consequently affecting demand for our products and services; the depth and duration of an economic slowdown or recession, instability in the business landscape and lack of availability of credit; declarations of insolvency or bankruptcy, or becoming subject to similar proceedings; natural disasters and other unforeseen events (including global health hazards such as, for example, COVID-19); and our ability to implement our climate action program in effect at any given time, if any, including our current “Future in Action” climate action program, and to achieve our sustainability goals and objectives in effect at any given time, if any, including under our current “Future in Action” climate action program. Many factors could cause our expectations, expected results, and/or projections expressed in the webcast, reports and documents to be disclosed in the events referenced herein and in the events referenced herein not being reached and/or not producing the expected benefits and/or results, as any such benefits or results are subject to uncertainties, costs, performance, and also rate of success and/or implementation of technologies, some of which are yet not proven, among other factors. Should one or more of these risks or uncertainties materialize, or should underlying assumptions prove incorrect, actual results, performance and/or achievements may vary materially from historical results, performance, and/or achievements and/or results; performance and/or achievements expressly or implicitly anticipated by the forward-looking statements; or otherwise could have an impact on us. Forward-looking statements should not be considered guarantees of future performance, and past results or developments are not indicative of results or developments in subsequent periods. Actual results, performance and/or achievements of our operations and the development of market conditions in which we operate, or other circumstances that may materialize, may differ materially from those described in, or suggested by, the forward-looking statements contained in the information to be disclosed in the conference call and webcast and reports, documents, and events referenced therein. Any or all of our forward-looking statements may turn out to be inaccurate and the factors identified above are not exhaustive. Accordingly, undue reliance on forward-looking statements should not be placed, as such forward-looking statements speak only as of the dates on which they are made. The forward-looking statements and the information disclosed in the reports, documents and events referenced herein are made and stated as of the dates specified in such referenced reports, documents and events and are subject to change without notice; and, except to the extent legally required, we expressly disclaim any obligation or undertaking to update or correct the information contained in such reports or the documents to be disclosed in the events referenced herein, or revise any forward-looking statements in such referenced reports or documents, whether to reflect new information, the occurrence of anticipated or unanticipated future events or circumstances, any change in our expectations regarding those forward-looking statements, any change in events, conditions or circumstances on which any such statement is based, or otherwise. Readers should review future reports filed or furnished by us with the SEC, the CNBV and the BMV. Market data used in the reports, presentations, and documents referenced herein and events referenced herein not attributed to a specific source are our estimates and have not been independently verified. Certain financial and statistical information contained in these documents is subject to rounding adjustments; accordingly, any discrepancies between the totals and the sums of the amounts listed are due to rounding. Unless otherwise specified, all references to records are our internal records. The reports, presentations, and documents to be disclosed during our third quarter 2026 results conference call and audio webcast presentation include certain non-International Financing Reporting Standards (“IFRS”) financial measures that differ from financial information presented by us in accordance with IFRS in its financial statements and reports containing financial information. The aforementioned non-IFRS financial measures include “Operating EBITDA” (operating earnings before other expenses, net plus depreciation and amortization) and “Operating EBITDA Margin”. The closest IFRS financial measure to Operating EBITDA is “Operating earnings before other expenses, net”, as Operating EBITDA adds depreciation and amortization to the IFRS financial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28750" cy="4762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428750" cy="476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sz w:val="20"/>
        </w:rPr>
      </w:pPr>
      <w:r>
        <w:rPr>
          <w:rFonts w:ascii="Times New Roman" w:hAnsi="Times New Roman"/>
          <w:i/>
          <w:sz w:val="20"/>
        </w:rPr>
        <w:t xml:space="preserve">measure. Our Operating EBITDA Margin is calculated by dividing our Operating EBITDA for the period by our revenues as reported in our financial statements for the same period. We believe there is no close IFRS financial measure to compare Operating EBITDA Margin. These non-IFRS financial measures are designed to complement and should not be considered superior to financial measures calculated in accordance with IFRS. Although Operating EBITDA and Operating EBITDA Margin are not measures of operating performance, an alternative to cash flows or a measure of financial position under IFRS, Operating EBITDA is the financial measure used by our management to review operating performance and profitability, for decision-making purposes and to allocate resources. Moreover, our Operating EBITDA is a measure used by our creditors to review our ability to internally fund capital expenditures, service or incur debt and comply with financial covenants under our financing agreements. Furthermore, our management regularly reviews our Operating EBITDA Margin by reportable segment and on a consolidated basis as a measure of performance and profitability. These non-IFRS financial measures do not have any standardized meaning and are therefore unlikely to be comparable to similarly titled measures presented by other companies. The financial measures presented in the reports, presentations, and documents to be disclosed during our third quarter 2026 results conference call and audio webcast presentation are being provided for informative purposes only and shall not be construed as investment, financial, or other advice. Also, the reports, presentations, and documents to be disclosed during our third quarter 2026 results conference call and audio webcast presentation include statistical data regarding the production, distribution, marketing and sale of cement, ready-mix concrete, clinker, aggregates and Urbanization Solutions. We generated some of this data internally, and some was obtained from independent industry publications and reports that we believe to be reliable sources. We have not independently verified this data nor sought the consent of any organizations to refer to their reports in the reports, presentations, and documents to be disclosed in the events referenced herein. We act in strict compliance with antitrust laws and as such, among other measures, maintains an independent pricing policy that has been independently developed and its core element is to price our products and services based upon their quality and characteristics as well as their value to our customers. We do not accept any communications or agreements of any type with competitors regarding the determination of our prices for our products and services. Unless the context indicates otherwise, all references to pricing initiatives, price increases or decreases, refer to our prices for our products. The information, statements, and opinions contained in the reports, presentations, and documents to be disclosed during our third quarter 2026 results conference call and audio webcast presentation are for informational purposes only and do not constitute a public offer under any applicable legislation, an offer to sell, or solicitation of any offer to buy any securities or financial instruments, or any advice or recommendation with respect to such securities or other financial instruments. You should not construe any such information or other material as legal, tax, investment, financial, or other advice. We are not responsible for any third-party information referenced in the reports, presentations, and documents to be disclosed during our third quarter 2026 results conference call and audio webcast presentation. </w:t>
      </w:r>
      <w:r>
        <w:rPr>
          <w:rFonts w:ascii="Times New Roman" w:hAnsi="Times New Roman"/>
          <w:b/>
          <w:i/>
          <w:sz w:val="20"/>
        </w:rPr>
        <w:t>Cautionary Statement Regarding Environmental, Social, and Governance (</w:t>
      </w:r>
      <w:r>
        <w:rPr>
          <w:rFonts w:ascii="Times New Roman" w:hAnsi="Times New Roman"/>
          <w:sz w:val="20"/>
        </w:rPr>
        <w:t>“</w:t>
      </w:r>
      <w:r>
        <w:rPr>
          <w:rFonts w:ascii="Times New Roman" w:hAnsi="Times New Roman"/>
          <w:b/>
          <w:i/>
          <w:sz w:val="20"/>
        </w:rPr>
        <w:t>ESG</w:t>
      </w:r>
      <w:r>
        <w:rPr>
          <w:rFonts w:ascii="Times New Roman" w:hAnsi="Times New Roman"/>
          <w:sz w:val="20"/>
        </w:rPr>
        <w:t>”</w:t>
      </w:r>
      <w:r>
        <w:rPr>
          <w:rFonts w:ascii="Times New Roman" w:hAnsi="Times New Roman"/>
          <w:b/>
          <w:i/>
          <w:sz w:val="20"/>
        </w:rPr>
        <w:t xml:space="preserve">) and Sustainability-Related Data, Metrics, and Methodologies. </w:t>
      </w:r>
      <w:r>
        <w:rPr>
          <w:rFonts w:ascii="Times New Roman" w:hAnsi="Times New Roman"/>
          <w:i/>
          <w:sz w:val="20"/>
        </w:rPr>
        <w:t xml:space="preserve">The reports, presentations, and documents to be disclosed during our third quarter 2026 results conference call and audio webcast presentation include non-financial metrics, estimates, or other information related to ESG and sustainability matters that are subject to significant uncertainties, which may include the methodology, collection, and verification of data, various estimates, and assumptions, and/or underlying data that is obtained from third parties, some of which cannot be independently verified. The preparation of certain information on ESG and sustainability matters contained in the reports, presentations, and documents to be disclosed during our third quarter 2026 results conference call and audio webcast presentation requires the application of a number of key judgments, assumptions, and estimates. The reported measures reflect good faith estimates, assumptions, and judgments at the given point in time. There is a risk that these judgments, estimates, or assumptions may subsequently prove to be incorrect and/or, to the extent legally required, may need to be restated or changed. The disclosure of information on sustainability-related matters is not yet subject to the same recognized or accepted reporting or accounting principles and rules as traditional financial information. Consequently, there are no commonly accepted reporting practices for us to follow, and ESG metrics among organizations in our industry may not be comparable. In addition, the underlying data, systems, and controls that support non-financial reporting are generally considerably less sophisticated than the systems and internal control for financial reporting and rely on manual processes. This may result in non-comparable information between organizations and/or between reporting periods within organizations as methodologies continue to develop and/or be socialized. The further development of or changes to accounting and/or reporting standards could materially impact the performance metrics, data points, and targets contained in the reports, presentations, and documents to be disclosed during our third quarter 2026 results conference call and audio webcast presentation, and the reader may not be able to compare non-financial information performance metrics, data points, or targets between reporting periods on a direct like-for-like basis. Additionally, the information to be disclosed in the reports and documents during our third quarter 2026 results conference call and audio webcast presentation contains references to “green,” “social,” “sustainable,” or equivalent-labelled activities, products, assets, or projects. There is currently no single globally recognized or accepted, consistent, and comparable set of definitions or standards (legal, regulatory, or otherwise) of, nor widespread cross-market consensus i) as to what constitutes, a ‘green’, ‘social,’ or ‘sustainable’ or having equivalent-labelled activity, product, or asset; or ii) as to what precise attributes are required for a particular activity, product, or asset to be defined as ‘green’, ‘social,’ or ‘sustainable’ or such other equivalent label; or iii) as to climate and sustainable funding and financing activities and their classification and reporting. Therefore, there is little certainty, and no assurance or representation is given that such activities, products, assets or projects and/or reporting of those activities, products, assets or projects will meet any present or future expectations or requirements for describing or classifying such activities, products, assets or projects as ‘green,’ ‘social,’ or ‘sustainable,’ or attributing similar labels. We expect policies, regulatory requirements, standards, and definitions to be developed and continuously evolve over time. </w:t>
      </w:r>
      <w:r>
        <w:rPr>
          <w:rFonts w:ascii="Times New Roman" w:hAnsi="Times New Roman"/>
          <w:b/>
          <w:i/>
          <w:sz w:val="20"/>
        </w:rPr>
        <w:t xml:space="preserve">Cautionary Statement Regarding Forward-Looking ESG or Sustainability Statements. </w:t>
      </w:r>
      <w:r>
        <w:rPr>
          <w:rFonts w:ascii="Times New Roman" w:hAnsi="Times New Roman"/>
          <w:i/>
          <w:sz w:val="20"/>
        </w:rPr>
        <w:t xml:space="preserve">Certain sections in the reports, presentations, and documents to be disclosed during our third quarter 2026 results conference call and audio webcast presentation contain ESG- or sustainability-related forward-looking statements, such as aims, ambitions, estimates, forecasts, plans, projections, targets, goals and other metrics, including but not limited to: climate and emissions, business and human rights, corporate governance, research and development and partnerships, development of products and services that intend to address sustainability-related concerns and sustainability related targets/ ambitions when finalized, including the implementation of technologies and other initiatives that aim to reduce and/or capture CO2 emissions. These forward-looking statements also include references to specific programs, such as our current “Future in Action” climate action program, as well as various ESG-related indicators, objectives or metrics disclosed previously or that may be disclosed in the future, none of which are guarantees and any and all of which may ultimately not be achieved or may be abandoned at any time, whether in part, in full, or within any specific timeframe. There are many significant uncertainties, assumptions, judgements, opinions, estimates, forecasts and statements made of future expectations underlying these forward-looking statements which could cause actual results, performance, outcomes or events to differ materially from those expressed or implied in these forward-looking statements, which include, but are not limited to: the extent and pace of climate change, including the timing and manifestation of physical and transition risks; the macroeconomic environment; uncertainty around future climate-related policy, including the timely </w:t>
      </w:r>
      <w:r>
        <w:br w:type="page"/>
      </w:r>
    </w:p>
    <w:p>
      <w:pPr>
        <w:pStyle w:val="HorizontalLine"/>
        <w:pBdr>
          <w:bottom w:val="double" w:sz="6" w:space="0" w:color="808080"/>
        </w:pBdr>
        <w:bidi w:val="0"/>
        <w:jc w:val="left"/>
        <w:rPr/>
      </w:pPr>
      <w:r>
        <w:rPr/>
      </w:r>
    </w:p>
    <w:p>
      <w:pPr>
        <w:pStyle w:val="TextBody"/>
        <w:bidi w:val="0"/>
        <w:spacing w:before="0" w:after="0"/>
        <w:jc w:val="right"/>
        <w:rPr/>
      </w:pPr>
      <w:r>
        <w:rPr/>
        <w:drawing>
          <wp:inline distT="0" distB="0" distL="0" distR="0">
            <wp:extent cx="1428750" cy="4762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428750" cy="476250"/>
                    </a:xfrm>
                    <a:prstGeom prst="rect">
                      <a:avLst/>
                    </a:prstGeom>
                  </pic:spPr>
                </pic:pic>
              </a:graphicData>
            </a:graphic>
          </wp:inline>
        </w:drawing>
      </w:r>
      <w:r>
        <w:rPr/>
        <w:t xml:space="preserve"> </w:t>
      </w:r>
    </w:p>
    <w:p>
      <w:pPr>
        <w:pStyle w:val="TextBody"/>
        <w:bidi w:val="0"/>
        <w:spacing w:before="0" w:after="0"/>
        <w:jc w:val="left"/>
        <w:rPr/>
      </w:pPr>
      <w:r>
        <w:rPr/>
        <w:t> </w:t>
      </w:r>
    </w:p>
    <w:p>
      <w:pPr>
        <w:pStyle w:val="TextBody"/>
        <w:bidi w:val="0"/>
        <w:spacing w:before="0" w:after="0"/>
        <w:jc w:val="left"/>
        <w:rPr>
          <w:rFonts w:ascii="Times New Roman" w:hAnsi="Times New Roman"/>
          <w:i/>
          <w:sz w:val="20"/>
        </w:rPr>
      </w:pPr>
      <w:r>
        <w:rPr>
          <w:rFonts w:ascii="Times New Roman" w:hAnsi="Times New Roman"/>
          <w:i/>
          <w:sz w:val="20"/>
        </w:rPr>
        <w:t xml:space="preserve">implementation and integration of adequate government policies; the effectiveness of actions of governments, legislators, regulators, businesses, investors, customers, and other stakeholders to mitigate the impact of climate and sustainability-related risks; changes in customer behavior and demand, changes in the available technology for mitigation and the effectiveness of any such technologies, as some of these new technologies may be unproven; excessive costs and expenses related to acquire and/or develop technology for mitigation; the roll-out of low carbon infrastructure; the availability and adoption of renewable energy in our value chain; the development of carbon capture, circular utilization, and sequestration technologies, including the adoption of cost-effective carbon-related technologies such as carbon capture, utilization, and storage; the availability of accurate, verifiable, reliable, consistent, and comparable climate-related data; lack of transparency and comparability of climate-related forward-looking methodologies; variation in approaches and outcomes, as variations in methodologies may lead to under or overestimates and consequently present exaggerated indication of climate-related risk; and reliance on assumptions and future uncertainty. Calculations of forward-looking metrics are complex and require many methodological choices and assumptions. Accordingly, undue reliance should not be placed on these forward-looking statements. Furthermore, changing national and international standards, industry and scientific practices, regulatory requirements, and market expectations regarding climate change, which remain under continuous development, are subject to different interpretations. There can be no assurance that these standards, practices, requirements, and expectations will not be interpreted differently than our understanding when defining sustainability-related ambitions and targets or change in a manner that substantially increases the cost or effort for us to achieve such ambitions and targets.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2.jpeg"/><Relationship Id="rId6" Type="http://schemas.openxmlformats.org/officeDocument/2006/relationships/image" Target="media/image2.jpeg"/><Relationship Id="rId7" Type="http://schemas.openxmlformats.org/officeDocument/2006/relationships/image" Target="media/image2.jpeg"/><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4476</Words>
  <Characters>26868</Characters>
  <CharactersWithSpaces>31402</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EX-1</dc:title>
</cp:coreProperties>
</file>