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5749d6k.htm"/>
      <w:bookmarkStart w:id="1" w:name="ksd18574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240" w:after="0"/>
        <w:jc w:val="left"/>
        <w:rPr>
          <w:rFonts w:ascii="Times New Roman" w:hAnsi="Times New Roman"/>
          <w:sz w:val="20"/>
        </w:rPr>
      </w:pPr>
      <w:r>
        <w:rPr>
          <w:rFonts w:ascii="Times New Roman" w:hAnsi="Times New Roman"/>
          <w:sz w:val="20"/>
        </w:rPr>
        <w:t>On September 18, 2026, Cemex, S.A.B. de C.V. (NYSE: CX) (“Cemex”) informed the Mexican Stock Exchange (</w:t>
      </w:r>
      <w:r>
        <w:rPr>
          <w:rFonts w:ascii="Times New Roman" w:hAnsi="Times New Roman"/>
          <w:i/>
          <w:sz w:val="20"/>
        </w:rPr>
        <w:t>Bolsa Mexicana de Valores</w:t>
      </w:r>
      <w:r>
        <w:rPr>
          <w:rFonts w:ascii="Times New Roman" w:hAnsi="Times New Roman"/>
          <w:sz w:val="20"/>
        </w:rPr>
        <w:t>) that Cemex was not aware of the causes that may have initiated the unusual movements presented during September 18, 2026, in the volumes of the security identified with ticker symbol “CEMEX.CPO”, and that these movements correspond to market conditions. As provided by Article 53 of the General Provisions Applicable to Securities Issuers and Other Market Participants (</w:t>
      </w:r>
      <w:r>
        <w:rPr>
          <w:rFonts w:ascii="Times New Roman" w:hAnsi="Times New Roman"/>
          <w:i/>
          <w:sz w:val="20"/>
        </w:rPr>
        <w:t>Disposiciones</w:t>
      </w:r>
      <w:r>
        <w:rPr>
          <w:rFonts w:ascii="Times New Roman" w:hAnsi="Times New Roman"/>
          <w:sz w:val="20"/>
        </w:rPr>
        <w:t xml:space="preserve"> </w:t>
      </w:r>
      <w:r>
        <w:rPr>
          <w:rFonts w:ascii="Times New Roman" w:hAnsi="Times New Roman"/>
          <w:i/>
          <w:sz w:val="20"/>
        </w:rPr>
        <w:t>de Carácter</w:t>
      </w:r>
      <w:r>
        <w:rPr>
          <w:rFonts w:ascii="Times New Roman" w:hAnsi="Times New Roman"/>
          <w:sz w:val="20"/>
        </w:rPr>
        <w:t xml:space="preserve"> </w:t>
      </w:r>
      <w:r>
        <w:rPr>
          <w:rFonts w:ascii="Times New Roman" w:hAnsi="Times New Roman"/>
          <w:i/>
          <w:sz w:val="20"/>
        </w:rPr>
        <w:t>General Aplicables</w:t>
      </w:r>
      <w:r>
        <w:rPr>
          <w:rFonts w:ascii="Times New Roman" w:hAnsi="Times New Roman"/>
          <w:sz w:val="20"/>
        </w:rPr>
        <w:t xml:space="preserve"> </w:t>
      </w:r>
      <w:r>
        <w:rPr>
          <w:rFonts w:ascii="Times New Roman" w:hAnsi="Times New Roman"/>
          <w:i/>
          <w:sz w:val="20"/>
        </w:rPr>
        <w:t>a las Emisoras</w:t>
      </w:r>
      <w:r>
        <w:rPr>
          <w:rFonts w:ascii="Times New Roman" w:hAnsi="Times New Roman"/>
          <w:sz w:val="20"/>
        </w:rPr>
        <w:t xml:space="preserve"> </w:t>
      </w:r>
      <w:r>
        <w:rPr>
          <w:rFonts w:ascii="Times New Roman" w:hAnsi="Times New Roman"/>
          <w:i/>
          <w:sz w:val="20"/>
        </w:rPr>
        <w:t>de Valores y a Otros</w:t>
      </w:r>
      <w:r>
        <w:rPr>
          <w:rFonts w:ascii="Times New Roman" w:hAnsi="Times New Roman"/>
          <w:sz w:val="20"/>
        </w:rPr>
        <w:t xml:space="preserve"> </w:t>
      </w:r>
      <w:r>
        <w:rPr>
          <w:rFonts w:ascii="Times New Roman" w:hAnsi="Times New Roman"/>
          <w:i/>
          <w:sz w:val="20"/>
        </w:rPr>
        <w:t>Participantes</w:t>
      </w:r>
      <w:r>
        <w:rPr>
          <w:rFonts w:ascii="Times New Roman" w:hAnsi="Times New Roman"/>
          <w:sz w:val="20"/>
        </w:rPr>
        <w:t xml:space="preserve"> </w:t>
      </w:r>
      <w:r>
        <w:rPr>
          <w:rFonts w:ascii="Times New Roman" w:hAnsi="Times New Roman"/>
          <w:i/>
          <w:sz w:val="20"/>
        </w:rPr>
        <w:t>del Mercado de Valores</w:t>
      </w:r>
      <w:r>
        <w:rPr>
          <w:rFonts w:ascii="Times New Roman" w:hAnsi="Times New Roman"/>
          <w:sz w:val="20"/>
        </w:rPr>
        <w:t>) in Mexico, Cemex also informed the Mexican Stock Exchange that it has no knowledge of any of its shareholders, members of its board of directors or its senior management, having executed any transaction with securities issued by Cemex, which could have had any relation with the unusual movements in the volumes of Cemex’s CPO on September 18, 2026. If, subsequently, Cemex identifies any additional information related to these movements, such information will be disclosed no later than the next business day, as required under applicable laws of Mexico. This information is provided in Mexico at the request of the Mexican Stock Exchange, pursuant to Article 106 of the Securities Market Law (</w:t>
      </w:r>
      <w:r>
        <w:rPr>
          <w:rFonts w:ascii="Times New Roman" w:hAnsi="Times New Roman"/>
          <w:i/>
          <w:sz w:val="20"/>
        </w:rPr>
        <w:t>Ley del Mercado de Valores</w:t>
      </w:r>
      <w:r>
        <w:rPr>
          <w:rFonts w:ascii="Times New Roman" w:hAnsi="Times New Roman"/>
          <w:sz w:val="20"/>
        </w:rPr>
        <w:t xml:space="preserve">) and Article 50, next to last paragraph, of the General Provisions Applicable to Securities Issuers and Other Market Participants.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8"/>
        <w:gridCol w:w="102"/>
        <w:gridCol w:w="405"/>
        <w:gridCol w:w="102"/>
        <w:gridCol w:w="313"/>
        <w:gridCol w:w="102"/>
        <w:gridCol w:w="4603"/>
      </w:tblGrid>
      <w:tr>
        <w:trPr/>
        <w:tc>
          <w:tcPr>
            <w:tcW w:w="45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3" w:type="dxa"/>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18" w:type="dxa"/>
            <w:gridSpan w:val="3"/>
            <w:tcBorders>
              <w:bottom w:val="single" w:sz="2" w:space="0" w:color="000000"/>
            </w:tcBorders>
            <w:tcMar>
              <w:bottom w:w="28" w:type="dxa"/>
            </w:tcMar>
          </w:tcPr>
          <w:p>
            <w:pPr>
              <w:pStyle w:val="TableContents"/>
              <w:bidi w:val="0"/>
              <w:spacing w:before="0" w:after="283"/>
              <w:jc w:val="left"/>
              <w:rPr/>
            </w:pPr>
            <w:r>
              <w:rPr/>
              <w:t>Cemex, S.A.B. de C.V.</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8" w:type="dxa"/>
            <w:gridSpan w:val="3"/>
            <w:tcBorders/>
          </w:tcPr>
          <w:p>
            <w:pPr>
              <w:pStyle w:val="TableContents"/>
              <w:bidi w:val="0"/>
              <w:spacing w:before="0" w:after="283"/>
              <w:jc w:val="left"/>
              <w:rPr/>
            </w:pPr>
            <w:r>
              <w:rPr/>
              <w:t>(Registrant)</w:t>
            </w:r>
          </w:p>
        </w:tc>
      </w:tr>
      <w:tr>
        <w:trPr>
          <w:trHeight w:val="240" w:hRule="atLeast"/>
        </w:trPr>
        <w:tc>
          <w:tcPr>
            <w:tcW w:w="457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pPr>
            <w:r>
              <w:rPr/>
              <w:t>Date: September 18, 2026</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603" w:type="dxa"/>
            <w:tcBorders>
              <w:bottom w:val="single" w:sz="2" w:space="0" w:color="000000"/>
            </w:tcBorders>
            <w:tcMar>
              <w:bottom w:w="28" w:type="dxa"/>
            </w:tcMar>
          </w:tcPr>
          <w:p>
            <w:pPr>
              <w:pStyle w:val="TableContents"/>
              <w:bidi w:val="0"/>
              <w:spacing w:before="0" w:after="283"/>
              <w:jc w:val="left"/>
              <w:rPr/>
            </w:pPr>
            <w:r>
              <w:rPr/>
              <w:t>/s/ Jaime Martínez Merla</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283"/>
              <w:jc w:val="left"/>
              <w:rPr/>
            </w:pPr>
            <w:r>
              <w:rPr/>
              <w:t>Name: Jaime Martínez Merla</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283"/>
              <w:jc w:val="left"/>
              <w:rPr/>
            </w:pPr>
            <w:r>
              <w:rPr/>
              <w:t>Title:  Chief Comptroller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381</Words>
  <Characters>2067</Characters>
  <CharactersWithSpaces>2475</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