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66918d6k.htm"/>
      <w:bookmarkStart w:id="1" w:name="ksd66918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September,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001-14946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Cemex, S.A.B. de C.V.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Avenida Ricardo Margáin Zozaya #325, Colonia Valle del Campestre </w:t>
      </w:r>
    </w:p>
    <w:p>
      <w:pPr>
        <w:pStyle w:val="TextBody"/>
        <w:bidi w:val="0"/>
        <w:spacing w:before="0" w:after="0"/>
        <w:jc w:val="center"/>
        <w:rPr>
          <w:rFonts w:ascii="Times New Roman" w:hAnsi="Times New Roman"/>
          <w:b/>
          <w:sz w:val="20"/>
        </w:rPr>
      </w:pPr>
      <w:r>
        <w:rPr>
          <w:rFonts w:ascii="Times New Roman" w:hAnsi="Times New Roman"/>
          <w:b/>
          <w:sz w:val="20"/>
        </w:rPr>
        <w:t xml:space="preserve">San Pedro Garza García, Nuevo León, 66265 México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Contents </w:t>
      </w:r>
    </w:p>
    <w:p>
      <w:pPr>
        <w:pStyle w:val="TextBody"/>
        <w:bidi w:val="0"/>
        <w:spacing w:before="240" w:after="0"/>
        <w:jc w:val="left"/>
        <w:rPr>
          <w:rFonts w:ascii="Times New Roman" w:hAnsi="Times New Roman"/>
          <w:sz w:val="20"/>
        </w:rPr>
      </w:pPr>
      <w:r>
        <w:rPr>
          <w:rFonts w:ascii="Times New Roman" w:hAnsi="Times New Roman"/>
          <w:sz w:val="20"/>
        </w:rPr>
        <w:t xml:space="preserve">Cemex, S.A.B. de C.V. (“Cemex”) (NYSE: CX) announced today that, in compliance with the resolutions adopted at its Ordinary General Shareholders’ Meeting held on March 26, 2026 (the “AGM”), it will proceed to pay the second installment (USD $45.0 million) of the cash dividend that was approved at the AGM against the delivery of coupon 160 (one hundred and sixty) adhered to the share certificates representing all of the outstanding shares that make up the paid-up capital stock of Cemex. </w:t>
      </w:r>
    </w:p>
    <w:p>
      <w:pPr>
        <w:pStyle w:val="TextBody"/>
        <w:bidi w:val="0"/>
        <w:spacing w:before="240" w:after="0"/>
        <w:jc w:val="left"/>
        <w:rPr>
          <w:rFonts w:ascii="Times New Roman" w:hAnsi="Times New Roman"/>
          <w:sz w:val="20"/>
        </w:rPr>
      </w:pPr>
      <w:r>
        <w:rPr>
          <w:rFonts w:ascii="Times New Roman" w:hAnsi="Times New Roman"/>
          <w:sz w:val="20"/>
        </w:rPr>
        <w:t xml:space="preserve">Registered holders of Series A and Series B shares, Ordinary Participation Certificates (“CPO”) and American Depositary Shares (“ADS”) of Cemex as of the September 15, 2026 record date, will receive $0.017795 Mexican pesos per share (equivalent to USD $0.001039 per share), $0.053385 Mexican pesos per CPO (equivalent to USD $0.003117 per CPO) and USD $0.031170 per ADS in payment of the second installment of the cash dividend approved at the AGM, respectively. </w:t>
      </w:r>
    </w:p>
    <w:p>
      <w:pPr>
        <w:pStyle w:val="TextBody"/>
        <w:bidi w:val="0"/>
        <w:spacing w:before="240" w:after="0"/>
        <w:jc w:val="left"/>
        <w:rPr>
          <w:rFonts w:ascii="Times New Roman" w:hAnsi="Times New Roman"/>
          <w:sz w:val="20"/>
        </w:rPr>
      </w:pPr>
      <w:r>
        <w:rPr>
          <w:rFonts w:ascii="Times New Roman" w:hAnsi="Times New Roman"/>
          <w:sz w:val="20"/>
        </w:rPr>
        <w:t>In particular, with respect to holders of Cemex’s Series A and Series B shares and CPOs, the second installment of the cash dividend that was approved at the AGM will be paid on September 17, 2026, which amount in Mexican pesos was determined by applying an exchange rate of $17.1277 Mexican pesos per USD as published by the Bank of Mexico (</w:t>
      </w:r>
      <w:r>
        <w:rPr>
          <w:rFonts w:ascii="Times New Roman" w:hAnsi="Times New Roman"/>
          <w:i/>
          <w:sz w:val="20"/>
        </w:rPr>
        <w:t>Banco de México</w:t>
      </w:r>
      <w:r>
        <w:rPr>
          <w:rFonts w:ascii="Times New Roman" w:hAnsi="Times New Roman"/>
          <w:sz w:val="20"/>
        </w:rPr>
        <w:t xml:space="preserve">) on September 14, 2026.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ADS holders, it is expected that they will receive payment of the second installment of the dividend on or around September 24, 2026. </w:t>
      </w:r>
    </w:p>
    <w:p>
      <w:pPr>
        <w:pStyle w:val="TextBody"/>
        <w:bidi w:val="0"/>
        <w:spacing w:before="240" w:after="0"/>
        <w:jc w:val="left"/>
        <w:rPr>
          <w:rFonts w:ascii="Times New Roman" w:hAnsi="Times New Roman"/>
          <w:sz w:val="20"/>
        </w:rPr>
      </w:pPr>
      <w:r>
        <w:rPr>
          <w:rFonts w:ascii="Times New Roman" w:hAnsi="Times New Roman"/>
          <w:sz w:val="20"/>
        </w:rPr>
        <w:t>The declared dividend comes from the Net Tax Profit Account (</w:t>
      </w:r>
      <w:r>
        <w:rPr>
          <w:rFonts w:ascii="Times New Roman" w:hAnsi="Times New Roman"/>
          <w:i/>
          <w:sz w:val="20"/>
        </w:rPr>
        <w:t xml:space="preserve">Cuenta de Utilidad Fiscal Neta </w:t>
      </w:r>
      <w:r>
        <w:rPr>
          <w:rFonts w:ascii="Times New Roman" w:hAnsi="Times New Roman"/>
          <w:sz w:val="20"/>
        </w:rPr>
        <w:t xml:space="preserve">or </w:t>
      </w:r>
      <w:r>
        <w:rPr>
          <w:rFonts w:ascii="Times New Roman" w:hAnsi="Times New Roman"/>
          <w:i/>
          <w:sz w:val="20"/>
        </w:rPr>
        <w:t>CUFIN</w:t>
      </w:r>
      <w:r>
        <w:rPr>
          <w:rFonts w:ascii="Times New Roman" w:hAnsi="Times New Roman"/>
          <w:sz w:val="20"/>
        </w:rPr>
        <w:t xml:space="preserve">) of Cemex as of December 31, 2013; therefore, no tax withholding will be made for the payment of this dividend.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Cemex, S.A.B. de C.V.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83"/>
        <w:gridCol w:w="101"/>
        <w:gridCol w:w="407"/>
        <w:gridCol w:w="60"/>
        <w:gridCol w:w="60"/>
        <w:gridCol w:w="101"/>
        <w:gridCol w:w="305"/>
        <w:gridCol w:w="101"/>
        <w:gridCol w:w="4587"/>
      </w:tblGrid>
      <w:tr>
        <w:trPr/>
        <w:tc>
          <w:tcPr>
            <w:tcW w:w="448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587" w:type="dxa"/>
            <w:tcBorders/>
            <w:vAlign w:val="center"/>
          </w:tcPr>
          <w:p>
            <w:pPr>
              <w:pStyle w:val="TableContents"/>
              <w:bidi w:val="0"/>
              <w:spacing w:before="0" w:after="283"/>
              <w:jc w:val="left"/>
              <w:rPr>
                <w:sz w:val="4"/>
                <w:szCs w:val="4"/>
              </w:rPr>
            </w:pPr>
            <w:r>
              <w:rPr>
                <w:sz w:val="4"/>
                <w:szCs w:val="4"/>
              </w:rPr>
            </w:r>
          </w:p>
        </w:tc>
      </w:tr>
      <w:tr>
        <w:trPr/>
        <w:tc>
          <w:tcPr>
            <w:tcW w:w="4483" w:type="dxa"/>
            <w:tcBorders/>
          </w:tcPr>
          <w:p>
            <w:pPr>
              <w:pStyle w:val="TableContents"/>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4993"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Cemex, S.A.B. de C.V.</w:t>
            </w:r>
          </w:p>
        </w:tc>
      </w:tr>
      <w:tr>
        <w:trPr/>
        <w:tc>
          <w:tcPr>
            <w:tcW w:w="4483"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993"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(Registrant)</w:t>
            </w:r>
          </w:p>
        </w:tc>
      </w:tr>
      <w:tr>
        <w:trPr>
          <w:trHeight w:val="240" w:hRule="atLeast"/>
        </w:trPr>
        <w:tc>
          <w:tcPr>
            <w:tcW w:w="4483"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406" w:type="dxa"/>
            <w:gridSpan w:val="2"/>
            <w:tcBorders/>
            <w:vAlign w:val="center"/>
          </w:tcPr>
          <w:p>
            <w:pPr>
              <w:pStyle w:val="TableContents"/>
              <w:bidi w:val="0"/>
              <w:spacing w:before="0" w:after="283"/>
              <w:jc w:val="left"/>
              <w:rPr>
                <w:sz w:val="4"/>
                <w:szCs w:val="4"/>
              </w:rPr>
            </w:pPr>
            <w:r>
              <w:rPr>
                <w:sz w:val="4"/>
                <w:szCs w:val="4"/>
              </w:rPr>
            </w:r>
          </w:p>
        </w:tc>
        <w:tc>
          <w:tcPr>
            <w:tcW w:w="4688" w:type="dxa"/>
            <w:gridSpan w:val="2"/>
            <w:tcBorders/>
            <w:vAlign w:val="center"/>
          </w:tcPr>
          <w:p>
            <w:pPr>
              <w:pStyle w:val="TableContents"/>
              <w:bidi w:val="0"/>
              <w:spacing w:before="0" w:after="283"/>
              <w:jc w:val="left"/>
              <w:rPr>
                <w:sz w:val="4"/>
                <w:szCs w:val="4"/>
              </w:rPr>
            </w:pPr>
            <w:r>
              <w:rPr>
                <w:sz w:val="4"/>
                <w:szCs w:val="4"/>
              </w:rPr>
            </w:r>
          </w:p>
        </w:tc>
      </w:tr>
      <w:tr>
        <w:trPr/>
        <w:tc>
          <w:tcPr>
            <w:tcW w:w="4483" w:type="dxa"/>
            <w:tcBorders/>
          </w:tcPr>
          <w:p>
            <w:pPr>
              <w:pStyle w:val="TableContents"/>
              <w:bidi w:val="0"/>
              <w:spacing w:before="0" w:after="0"/>
              <w:jc w:val="left"/>
              <w:rPr>
                <w:rFonts w:ascii="Times New Roman" w:hAnsi="Times New Roman"/>
                <w:sz w:val="20"/>
              </w:rPr>
            </w:pPr>
            <w:r>
              <w:rPr>
                <w:rFonts w:ascii="Times New Roman" w:hAnsi="Times New Roman"/>
                <w:sz w:val="20"/>
              </w:rPr>
              <w:t>Date: September 14, 2026</w:t>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01" w:type="dxa"/>
            <w:tcBorders/>
            <w:vAlign w:val="bottom"/>
          </w:tcPr>
          <w:p>
            <w:pPr>
              <w:pStyle w:val="TableContents"/>
              <w:bidi w:val="0"/>
              <w:spacing w:before="0" w:after="283"/>
              <w:jc w:val="left"/>
              <w:rPr/>
            </w:pPr>
            <w:r>
              <w:rPr/>
              <w:t> </w:t>
            </w:r>
          </w:p>
        </w:tc>
        <w:tc>
          <w:tcPr>
            <w:tcW w:w="458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Jaime Martínez Merla</w:t>
            </w:r>
          </w:p>
        </w:tc>
      </w:tr>
      <w:tr>
        <w:trPr/>
        <w:tc>
          <w:tcPr>
            <w:tcW w:w="448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87" w:type="dxa"/>
            <w:tcBorders/>
          </w:tcPr>
          <w:p>
            <w:pPr>
              <w:pStyle w:val="TableContents"/>
              <w:bidi w:val="0"/>
              <w:spacing w:before="0" w:after="0"/>
              <w:jc w:val="left"/>
              <w:rPr>
                <w:rFonts w:ascii="Times New Roman" w:hAnsi="Times New Roman"/>
                <w:sz w:val="20"/>
              </w:rPr>
            </w:pPr>
            <w:r>
              <w:rPr>
                <w:rFonts w:ascii="Times New Roman" w:hAnsi="Times New Roman"/>
                <w:sz w:val="20"/>
              </w:rPr>
              <w:t>Name: Jaime Martínez Merla</w:t>
            </w:r>
          </w:p>
        </w:tc>
      </w:tr>
      <w:tr>
        <w:trPr/>
        <w:tc>
          <w:tcPr>
            <w:tcW w:w="448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5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Chief Comptroller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436</Words>
  <Characters>2241</Characters>
  <CharactersWithSpaces>2711</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6-K</dc:title>
</cp:coreProperties>
</file>