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172085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REPORT OF FOREIGN PRIVATE ISSUER</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RULE 13a-16 or 15d-16</w:t>
      </w:r>
    </w:p>
    <w:p>
      <w:pPr>
        <w:jc w:val="center"/>
        <w:spacing w:after="0"/>
        <w:rPr>
          <w:sz w:val="20"/>
          <w:szCs w:val="20"/>
          <w:color w:val="auto"/>
        </w:rPr>
      </w:pPr>
      <w:r>
        <w:rPr>
          <w:rFonts w:ascii="Times New Roman" w:cs="Times New Roman" w:eastAsia="Times New Roman" w:hAnsi="Times New Roman"/>
          <w:sz w:val="15"/>
          <w:szCs w:val="15"/>
          <w:b w:val="1"/>
          <w:bCs w:val="1"/>
          <w:color w:val="auto"/>
        </w:rPr>
        <w:t>UNDER THE SECURITIES EXCHANGE ACT OF 1934</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month of June 2026</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 001-14946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173355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Cemex, S.A.B. de C.V.</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Avenida Ricardo Margáin Zozaya #325, Colonia Valle del Campestre,</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San Pedro Garza García, Nuevo León 66265, México</w:t>
      </w:r>
    </w:p>
    <w:p>
      <w:pPr>
        <w:jc w:val="center"/>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152400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69"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Indicate by check mark whether the registrant files or will file annual reports under cover Form 20-F or Form 40-F.</w:t>
      </w:r>
    </w:p>
    <w:p>
      <w:pPr>
        <w:spacing w:after="0" w:line="125" w:lineRule="exact"/>
        <w:rPr>
          <w:sz w:val="24"/>
          <w:szCs w:val="24"/>
          <w:color w:val="auto"/>
        </w:rPr>
      </w:pPr>
    </w:p>
    <w:p>
      <w:pPr>
        <w:jc w:val="center"/>
        <w:spacing w:after="0" w:line="150" w:lineRule="exact"/>
        <w:rPr>
          <w:sz w:val="20"/>
          <w:szCs w:val="20"/>
          <w:color w:val="auto"/>
        </w:rPr>
      </w:pPr>
      <w:r>
        <w:rPr>
          <w:rFonts w:ascii="Times New Roman" w:cs="Times New Roman" w:eastAsia="Times New Roman" w:hAnsi="Times New Roman"/>
          <w:sz w:val="13"/>
          <w:szCs w:val="13"/>
          <w:color w:val="auto"/>
        </w:rPr>
        <w:t xml:space="preserve">Form 20-F 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Form 40-F  </w:t>
      </w:r>
      <w:r>
        <w:rPr>
          <w:rFonts w:ascii="MS PGothic" w:cs="MS PGothic" w:eastAsia="MS PGothic" w:hAnsi="MS PGothic"/>
          <w:sz w:val="13"/>
          <w:szCs w:val="13"/>
          <w:color w:val="auto"/>
        </w:rPr>
        <w:t>☐</w:t>
      </w:r>
    </w:p>
    <w:p>
      <w:pPr>
        <w:spacing w:after="0" w:line="182"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2"/>
          <w:szCs w:val="12"/>
          <w:color w:val="auto"/>
        </w:rPr>
        <w:t>Indicate by check mark if the registrant is submitting the Form 6-K in paper as permitted by Regulation S-T Rule 101(b)(1):</w:t>
      </w:r>
    </w:p>
    <w:p>
      <w:pPr>
        <w:spacing w:after="0" w:line="16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2"/>
          <w:szCs w:val="12"/>
          <w:color w:val="auto"/>
        </w:rPr>
        <w:t>Indicate by check mark if the registrant is submitting the Form 6-K in paper as permitted by Regulation S-T Rule 101(b)(7):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125095</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154940</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Contents</w:t>
      </w:r>
    </w:p>
    <w:p>
      <w:pPr>
        <w:spacing w:after="0" w:line="175" w:lineRule="exact"/>
        <w:rPr>
          <w:sz w:val="20"/>
          <w:szCs w:val="20"/>
          <w:color w:val="auto"/>
        </w:rPr>
      </w:pPr>
    </w:p>
    <w:p>
      <w:pPr>
        <w:ind w:left="940" w:hanging="303"/>
        <w:spacing w:after="0"/>
        <w:tabs>
          <w:tab w:leader="none" w:pos="94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Cemex, S.A.B. de C.V. (“Cemex”) (NYSE: CX) Sustainability-related 2025 report required under the laws and regulation of Mexico.</w:t>
      </w:r>
    </w:p>
    <w:p>
      <w:pPr>
        <w:sectPr>
          <w:pgSz w:w="11900" w:h="16838" w:orient="portrait"/>
          <w:cols w:equalWidth="0" w:num="1">
            <w:col w:w="9019"/>
          </w:cols>
          <w:pgMar w:left="1440" w:top="229"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SIGNATURE</w:t>
      </w:r>
    </w:p>
    <w:p>
      <w:pPr>
        <w:spacing w:after="0" w:line="156" w:lineRule="exact"/>
        <w:rPr>
          <w:sz w:val="20"/>
          <w:szCs w:val="20"/>
          <w:color w:val="auto"/>
        </w:rPr>
      </w:pPr>
    </w:p>
    <w:p>
      <w:pPr>
        <w:ind w:left="640" w:right="69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Cemex, S.A.B. de C.V. has duly caused this report to be signed on its behalf by the undersigned, thereunto duly authorized.</w:t>
      </w:r>
    </w:p>
    <w:p>
      <w:pPr>
        <w:spacing w:after="0" w:line="141" w:lineRule="exact"/>
        <w:rPr>
          <w:sz w:val="20"/>
          <w:szCs w:val="20"/>
          <w:color w:val="auto"/>
        </w:rPr>
      </w:pPr>
    </w:p>
    <w:tbl>
      <w:tblPr>
        <w:tblLayout w:type="fixed"/>
        <w:tblInd w:w="640" w:type="dxa"/>
        <w:tblCellMar>
          <w:top w:w="0" w:type="dxa"/>
          <w:left w:w="0" w:type="dxa"/>
          <w:bottom w:w="0" w:type="dxa"/>
          <w:right w:w="0" w:type="dxa"/>
        </w:tblCellMar>
      </w:tblPr>
      <w:tr>
        <w:trPr>
          <w:trHeight w:val="164"/>
        </w:trPr>
        <w:tc>
          <w:tcPr>
            <w:tcW w:w="2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7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color w:val="auto"/>
              </w:rPr>
              <w:t>Cemex, S.A.B. de C.V.</w:t>
            </w:r>
          </w:p>
        </w:tc>
      </w:tr>
      <w:tr>
        <w:trPr>
          <w:trHeight w:val="154"/>
        </w:trPr>
        <w:tc>
          <w:tcPr>
            <w:tcW w:w="24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7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(Registrant)</w:t>
            </w:r>
          </w:p>
        </w:tc>
      </w:tr>
      <w:tr>
        <w:trPr>
          <w:trHeight w:val="290"/>
        </w:trPr>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Date:  June 26, 2026</w:t>
            </w:r>
          </w:p>
        </w:tc>
        <w:tc>
          <w:tcPr>
            <w:tcW w:w="1540" w:type="dxa"/>
            <w:vAlign w:val="bottom"/>
          </w:tcPr>
          <w:p>
            <w:pPr>
              <w:spacing w:after="0"/>
              <w:rPr>
                <w:sz w:val="24"/>
                <w:szCs w:val="24"/>
                <w:color w:val="auto"/>
              </w:rPr>
            </w:pPr>
          </w:p>
        </w:tc>
        <w:tc>
          <w:tcPr>
            <w:tcW w:w="37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By:  /s/ Jaime Martínez Merla</w:t>
            </w:r>
          </w:p>
        </w:tc>
      </w:tr>
      <w:tr>
        <w:trPr>
          <w:trHeight w:val="128"/>
        </w:trPr>
        <w:tc>
          <w:tcPr>
            <w:tcW w:w="24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0" w:type="dxa"/>
            <w:vAlign w:val="bottom"/>
            <w:tcBorders>
              <w:top w:val="single" w:sz="8" w:color="auto"/>
            </w:tcBorders>
          </w:tcPr>
          <w:p>
            <w:pPr>
              <w:ind w:left="80"/>
              <w:spacing w:after="0" w:line="128" w:lineRule="exact"/>
              <w:rPr>
                <w:sz w:val="20"/>
                <w:szCs w:val="20"/>
                <w:color w:val="auto"/>
              </w:rPr>
            </w:pPr>
            <w:r>
              <w:rPr>
                <w:rFonts w:ascii="Times New Roman" w:cs="Times New Roman" w:eastAsia="Times New Roman" w:hAnsi="Times New Roman"/>
                <w:sz w:val="13"/>
                <w:szCs w:val="13"/>
                <w:color w:val="auto"/>
              </w:rPr>
              <w:t>Name: Jaime Martínez Merla</w:t>
            </w:r>
          </w:p>
        </w:tc>
      </w:tr>
      <w:tr>
        <w:trPr>
          <w:trHeight w:val="165"/>
        </w:trPr>
        <w:tc>
          <w:tcPr>
            <w:tcW w:w="2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Title: Chief Comptroller</w:t>
            </w:r>
          </w:p>
        </w:tc>
      </w:tr>
      <w:tr>
        <w:trPr>
          <w:trHeight w:val="256"/>
        </w:trPr>
        <w:tc>
          <w:tcPr>
            <w:tcW w:w="2460" w:type="dxa"/>
            <w:vAlign w:val="bottom"/>
          </w:tcPr>
          <w:p>
            <w:pPr>
              <w:spacing w:after="0"/>
              <w:rPr>
                <w:sz w:val="22"/>
                <w:szCs w:val="22"/>
                <w:color w:val="auto"/>
              </w:rPr>
            </w:pPr>
          </w:p>
        </w:tc>
        <w:tc>
          <w:tcPr>
            <w:tcW w:w="1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w:t>
            </w:r>
          </w:p>
        </w:tc>
        <w:tc>
          <w:tcPr>
            <w:tcW w:w="340" w:type="dxa"/>
            <w:vAlign w:val="bottom"/>
          </w:tcPr>
          <w:p>
            <w:pPr>
              <w:spacing w:after="0"/>
              <w:rPr>
                <w:sz w:val="22"/>
                <w:szCs w:val="22"/>
                <w:color w:val="auto"/>
              </w:rPr>
            </w:pPr>
          </w:p>
        </w:tc>
        <w:tc>
          <w:tcPr>
            <w:tcW w:w="3400" w:type="dxa"/>
            <w:vAlign w:val="bottom"/>
          </w:tcPr>
          <w:p>
            <w:pPr>
              <w:spacing w:after="0"/>
              <w:rPr>
                <w:sz w:val="22"/>
                <w:szCs w:val="22"/>
                <w:color w:val="auto"/>
              </w:rPr>
            </w:pPr>
          </w:p>
        </w:tc>
      </w:tr>
    </w:tbl>
    <w:p>
      <w:pPr>
        <w:sectPr>
          <w:pgSz w:w="11900" w:h="16838" w:orient="portrait"/>
          <w:cols w:equalWidth="0" w:num="1">
            <w:col w:w="9019"/>
          </w:cols>
          <w:pgMar w:left="1440" w:top="229" w:right="1440"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167"/>
        </w:trPr>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740" w:type="dxa"/>
            <w:vAlign w:val="bottom"/>
          </w:tcPr>
          <w:p>
            <w:pPr>
              <w:ind w:left="2380"/>
              <w:spacing w:after="0"/>
              <w:rPr>
                <w:sz w:val="20"/>
                <w:szCs w:val="20"/>
                <w:color w:val="auto"/>
              </w:rPr>
            </w:pPr>
            <w:r>
              <w:rPr>
                <w:rFonts w:ascii="Times New Roman" w:cs="Times New Roman" w:eastAsia="Times New Roman" w:hAnsi="Times New Roman"/>
                <w:sz w:val="13"/>
                <w:szCs w:val="13"/>
                <w:b w:val="1"/>
                <w:bCs w:val="1"/>
                <w:color w:val="auto"/>
              </w:rPr>
              <w:t>EXHIBIT INDEX</w:t>
            </w:r>
          </w:p>
        </w:tc>
        <w:tc>
          <w:tcPr>
            <w:tcW w:w="0" w:type="dxa"/>
            <w:vAlign w:val="bottom"/>
          </w:tcPr>
          <w:p>
            <w:pPr>
              <w:spacing w:after="0"/>
              <w:rPr>
                <w:sz w:val="1"/>
                <w:szCs w:val="1"/>
                <w:color w:val="auto"/>
              </w:rPr>
            </w:pPr>
          </w:p>
        </w:tc>
      </w:tr>
      <w:tr>
        <w:trPr>
          <w:trHeight w:val="260"/>
        </w:trPr>
        <w:tc>
          <w:tcPr>
            <w:tcW w:w="1000" w:type="dxa"/>
            <w:vAlign w:val="bottom"/>
            <w:gridSpan w:val="2"/>
          </w:tcPr>
          <w:p>
            <w:pPr>
              <w:jc w:val="center"/>
              <w:ind w:right="600"/>
              <w:spacing w:after="0"/>
              <w:rPr>
                <w:sz w:val="20"/>
                <w:szCs w:val="20"/>
                <w:color w:val="auto"/>
              </w:rPr>
            </w:pPr>
            <w:r>
              <w:rPr>
                <w:rFonts w:ascii="Times New Roman" w:cs="Times New Roman" w:eastAsia="Times New Roman" w:hAnsi="Times New Roman"/>
                <w:sz w:val="10"/>
                <w:szCs w:val="10"/>
                <w:color w:val="auto"/>
                <w:w w:val="99"/>
              </w:rPr>
              <w:t>EXHIBIT</w:t>
            </w:r>
          </w:p>
        </w:tc>
        <w:tc>
          <w:tcPr>
            <w:tcW w:w="6740" w:type="dxa"/>
            <w:vAlign w:val="bottom"/>
            <w:vMerge w:val="restart"/>
          </w:tcPr>
          <w:p>
            <w:pPr>
              <w:ind w:left="3040"/>
              <w:spacing w:after="0"/>
              <w:rPr>
                <w:sz w:val="20"/>
                <w:szCs w:val="20"/>
                <w:color w:val="auto"/>
              </w:rPr>
            </w:pPr>
            <w:r>
              <w:rPr>
                <w:rFonts w:ascii="Times New Roman" w:cs="Times New Roman" w:eastAsia="Times New Roman" w:hAnsi="Times New Roman"/>
                <w:sz w:val="10"/>
                <w:szCs w:val="10"/>
                <w:color w:val="auto"/>
              </w:rPr>
              <w:t>DESCRIPTION</w:t>
            </w:r>
          </w:p>
        </w:tc>
        <w:tc>
          <w:tcPr>
            <w:tcW w:w="0" w:type="dxa"/>
            <w:vAlign w:val="bottom"/>
          </w:tcPr>
          <w:p>
            <w:pPr>
              <w:spacing w:after="0"/>
              <w:rPr>
                <w:sz w:val="1"/>
                <w:szCs w:val="1"/>
                <w:color w:val="auto"/>
              </w:rPr>
            </w:pPr>
          </w:p>
        </w:tc>
      </w:tr>
      <w:tr>
        <w:trPr>
          <w:trHeight w:val="119"/>
        </w:trPr>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4"/>
              </w:rPr>
              <w:t>NO.</w:t>
            </w:r>
          </w:p>
        </w:tc>
        <w:tc>
          <w:tcPr>
            <w:tcW w:w="600" w:type="dxa"/>
            <w:vAlign w:val="bottom"/>
          </w:tcPr>
          <w:p>
            <w:pPr>
              <w:spacing w:after="0"/>
              <w:rPr>
                <w:sz w:val="10"/>
                <w:szCs w:val="10"/>
                <w:color w:val="auto"/>
              </w:rPr>
            </w:pPr>
          </w:p>
        </w:tc>
        <w:tc>
          <w:tcPr>
            <w:tcW w:w="67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4480" w:right="659" w:hanging="3843"/>
        <w:spacing w:after="0" w:line="434" w:lineRule="auto"/>
        <w:tabs>
          <w:tab w:leader="none" w:pos="16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0000EE"/>
        </w:rPr>
        <w:t xml:space="preserve">Cemex, S.A.B. de C.V. (“Cemex”) (NYSE: CX) Sustainability-related 2025 report required under the laws and regulation of Mexico. </w:t>
      </w:r>
      <w:r>
        <w:rPr>
          <w:rFonts w:ascii="Times New Roman" w:cs="Times New Roman" w:eastAsia="Times New Roman" w:hAnsi="Times New Roman"/>
          <w:sz w:val="13"/>
          <w:szCs w:val="13"/>
          <w:color w:val="000000"/>
        </w:rPr>
        <w:t>4</w:t>
      </w:r>
    </w:p>
    <w:p>
      <w:pPr>
        <w:sectPr>
          <w:pgSz w:w="11900" w:h="16838" w:orient="portrait"/>
          <w:cols w:equalWidth="0" w:num="1">
            <w:col w:w="9019"/>
          </w:cols>
          <w:pgMar w:left="1440" w:top="229" w:right="1440" w:bottom="1440" w:gutter="0" w:footer="0" w:header="0"/>
        </w:sectPr>
      </w:pPr>
    </w:p>
    <w:bookmarkStart w:id="4" w:name="page5"/>
    <w:bookmarkEnd w:id="4"/>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434" w:lineRule="auto"/>
        <w:tabs>
          <w:tab w:leader="none" w:pos="1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6158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8840" cy="46158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2026-06-26T17:19:43Z</dcterms:created>
  <dcterms:modified xsi:type="dcterms:W3CDTF">2026-06-26T17:19:43Z</dcterms:modified>
</cp:coreProperties>
</file>