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6310d6k.htm"/>
      <w:bookmarkStart w:id="1" w:name="ksd4631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pPr>
            <w:hyperlink w:anchor="d46310dex1.htm">
              <w:r>
                <w:rPr>
                  <w:rStyle w:val="InternetLink"/>
                  <w:rFonts w:ascii="Times New Roman" w:hAnsi="Times New Roman"/>
                  <w:sz w:val="20"/>
                </w:rPr>
                <w:t xml:space="preserve">Press release dated July  23, 2026 announcing second quarter 2026 results for Cemex, S.A.B. de C.V. (NYSE: CX) (“Cemex”).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pPr>
            <w:hyperlink w:anchor="d46310dex2.htm">
              <w:r>
                <w:rPr>
                  <w:rStyle w:val="InternetLink"/>
                  <w:rFonts w:ascii="Times New Roman" w:hAnsi="Times New Roman"/>
                  <w:sz w:val="20"/>
                </w:rPr>
                <w:t xml:space="preserve">Second quarter 2026 results for Cemex.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pPr>
            <w:hyperlink w:anchor="d46310dex3.htm">
              <w:r>
                <w:rPr>
                  <w:rStyle w:val="InternetLink"/>
                  <w:rFonts w:ascii="Times New Roman" w:hAnsi="Times New Roman"/>
                  <w:sz w:val="20"/>
                </w:rPr>
                <w:t xml:space="preserve">Presentation regarding second quarter 2026 results for Cemex.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2"/>
        <w:gridCol w:w="107"/>
        <w:gridCol w:w="394"/>
        <w:gridCol w:w="107"/>
        <w:gridCol w:w="590"/>
        <w:gridCol w:w="107"/>
        <w:gridCol w:w="4508"/>
      </w:tblGrid>
      <w:tr>
        <w:trPr/>
        <w:tc>
          <w:tcPr>
            <w:tcW w:w="439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508" w:type="dxa"/>
            <w:tcBorders/>
            <w:vAlign w:val="center"/>
          </w:tcPr>
          <w:p>
            <w:pPr>
              <w:pStyle w:val="TableContents"/>
              <w:bidi w:val="0"/>
              <w:spacing w:before="0" w:after="283"/>
              <w:jc w:val="left"/>
              <w:rPr>
                <w:sz w:val="4"/>
                <w:szCs w:val="4"/>
              </w:rPr>
            </w:pPr>
            <w:r>
              <w:rPr>
                <w:sz w:val="4"/>
                <w:szCs w:val="4"/>
              </w:rPr>
            </w:r>
          </w:p>
        </w:tc>
      </w:tr>
      <w:tr>
        <w:trPr/>
        <w:tc>
          <w:tcPr>
            <w:tcW w:w="439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439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(Registrant)</w:t>
            </w:r>
          </w:p>
        </w:tc>
      </w:tr>
      <w:tr>
        <w:trPr>
          <w:trHeight w:val="240" w:hRule="atLeast"/>
        </w:trPr>
        <w:tc>
          <w:tcPr>
            <w:tcW w:w="4392" w:type="dxa"/>
            <w:tcBorders/>
            <w:vAlign w:val="center"/>
          </w:tcPr>
          <w:p>
            <w:pPr>
              <w:pStyle w:val="TableContents"/>
              <w:bidi w:val="0"/>
              <w:spacing w:before="0" w:after="283"/>
              <w:jc w:val="left"/>
              <w:rPr>
                <w:sz w:val="4"/>
                <w:szCs w:val="4"/>
              </w:rPr>
            </w:pPr>
            <w:r>
              <w:rPr>
                <w:sz w:val="4"/>
                <w:szCs w:val="4"/>
              </w:rPr>
            </w:r>
          </w:p>
        </w:tc>
        <w:tc>
          <w:tcPr>
            <w:tcW w:w="501" w:type="dxa"/>
            <w:gridSpan w:val="2"/>
            <w:tcBorders/>
            <w:vAlign w:val="center"/>
          </w:tcPr>
          <w:p>
            <w:pPr>
              <w:pStyle w:val="TableContents"/>
              <w:bidi w:val="0"/>
              <w:spacing w:before="0" w:after="283"/>
              <w:jc w:val="left"/>
              <w:rPr>
                <w:sz w:val="4"/>
                <w:szCs w:val="4"/>
              </w:rPr>
            </w:pPr>
            <w:r>
              <w:rPr>
                <w:sz w:val="4"/>
                <w:szCs w:val="4"/>
              </w:rPr>
            </w:r>
          </w:p>
        </w:tc>
        <w:tc>
          <w:tcPr>
            <w:tcW w:w="697" w:type="dxa"/>
            <w:gridSpan w:val="2"/>
            <w:tcBorders/>
            <w:vAlign w:val="center"/>
          </w:tcPr>
          <w:p>
            <w:pPr>
              <w:pStyle w:val="TableContents"/>
              <w:bidi w:val="0"/>
              <w:spacing w:before="0" w:after="283"/>
              <w:jc w:val="left"/>
              <w:rPr>
                <w:sz w:val="4"/>
                <w:szCs w:val="4"/>
              </w:rPr>
            </w:pPr>
            <w:r>
              <w:rPr>
                <w:sz w:val="4"/>
                <w:szCs w:val="4"/>
              </w:rPr>
            </w:r>
          </w:p>
        </w:tc>
        <w:tc>
          <w:tcPr>
            <w:tcW w:w="4615" w:type="dxa"/>
            <w:gridSpan w:val="2"/>
            <w:tcBorders/>
            <w:vAlign w:val="center"/>
          </w:tcPr>
          <w:p>
            <w:pPr>
              <w:pStyle w:val="TableContents"/>
              <w:bidi w:val="0"/>
              <w:spacing w:before="0" w:after="283"/>
              <w:jc w:val="left"/>
              <w:rPr>
                <w:sz w:val="4"/>
                <w:szCs w:val="4"/>
              </w:rPr>
            </w:pPr>
            <w:r>
              <w:rPr>
                <w:sz w:val="4"/>
                <w:szCs w:val="4"/>
              </w:rPr>
            </w:r>
          </w:p>
        </w:tc>
      </w:tr>
      <w:tr>
        <w:trPr/>
        <w:tc>
          <w:tcPr>
            <w:tcW w:w="4392" w:type="dxa"/>
            <w:tcBorders/>
          </w:tcPr>
          <w:p>
            <w:pPr>
              <w:pStyle w:val="TableContents"/>
              <w:bidi w:val="0"/>
              <w:spacing w:before="0" w:after="283"/>
              <w:jc w:val="left"/>
              <w:rPr/>
            </w:pPr>
            <w:r>
              <w:rPr/>
              <w:t>Date: July 23, 2026</w:t>
            </w:r>
          </w:p>
        </w:tc>
        <w:tc>
          <w:tcPr>
            <w:tcW w:w="107"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5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39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Jaime Martínez Merla</w:t>
            </w:r>
          </w:p>
        </w:tc>
      </w:tr>
      <w:tr>
        <w:trPr/>
        <w:tc>
          <w:tcPr>
            <w:tcW w:w="4392"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508" w:type="dxa"/>
            <w:tcBorders/>
          </w:tcPr>
          <w:p>
            <w:pPr>
              <w:pStyle w:val="TableContents"/>
              <w:bidi w:val="0"/>
              <w:spacing w:before="0" w:after="283"/>
              <w:jc w:val="left"/>
              <w:rPr/>
            </w:pPr>
            <w:r>
              <w:rPr/>
              <w:t>Chief Comptroller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02"/>
        <w:gridCol w:w="381"/>
        <w:gridCol w:w="8822"/>
      </w:tblGrid>
      <w:tr>
        <w:trPr/>
        <w:tc>
          <w:tcPr>
            <w:tcW w:w="1002"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8822" w:type="dxa"/>
            <w:tcBorders/>
            <w:vAlign w:val="center"/>
          </w:tcPr>
          <w:p>
            <w:pPr>
              <w:pStyle w:val="TableContents"/>
              <w:bidi w:val="0"/>
              <w:spacing w:before="0" w:after="283"/>
              <w:jc w:val="left"/>
              <w:rPr>
                <w:sz w:val="4"/>
                <w:szCs w:val="4"/>
              </w:rPr>
            </w:pPr>
            <w:r>
              <w:rPr>
                <w:sz w:val="4"/>
                <w:szCs w:val="4"/>
              </w:rPr>
            </w:r>
          </w:p>
        </w:tc>
      </w:tr>
      <w:tr>
        <w:trPr/>
        <w:tc>
          <w:tcPr>
            <w:tcW w:w="1002"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381" w:type="dxa"/>
            <w:tcBorders/>
            <w:vAlign w:val="bottom"/>
          </w:tcPr>
          <w:p>
            <w:pPr>
              <w:pStyle w:val="TableContents"/>
              <w:bidi w:val="0"/>
              <w:spacing w:before="0" w:after="283"/>
              <w:jc w:val="left"/>
              <w:rPr/>
            </w:pPr>
            <w:r>
              <w:rPr/>
              <w:t> </w:t>
            </w:r>
          </w:p>
        </w:tc>
        <w:tc>
          <w:tcPr>
            <w:tcW w:w="882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rHeight w:val="120" w:hRule="atLeast"/>
        </w:trPr>
        <w:tc>
          <w:tcPr>
            <w:tcW w:w="1002" w:type="dxa"/>
            <w:tcBorders/>
            <w:vAlign w:val="center"/>
          </w:tcPr>
          <w:p>
            <w:pPr>
              <w:pStyle w:val="TableContents"/>
              <w:bidi w:val="0"/>
              <w:spacing w:before="0" w:after="283"/>
              <w:jc w:val="left"/>
              <w:rPr>
                <w:sz w:val="4"/>
                <w:szCs w:val="4"/>
              </w:rPr>
            </w:pPr>
            <w:r>
              <w:rPr>
                <w:sz w:val="4"/>
                <w:szCs w:val="4"/>
              </w:rPr>
            </w:r>
          </w:p>
        </w:tc>
        <w:tc>
          <w:tcPr>
            <w:tcW w:w="9203" w:type="dxa"/>
            <w:gridSpan w:val="2"/>
            <w:tcBorders/>
            <w:vAlign w:val="center"/>
          </w:tcPr>
          <w:p>
            <w:pPr>
              <w:pStyle w:val="TableContents"/>
              <w:bidi w:val="0"/>
              <w:spacing w:before="0" w:after="283"/>
              <w:jc w:val="left"/>
              <w:rPr>
                <w:sz w:val="4"/>
                <w:szCs w:val="4"/>
              </w:rPr>
            </w:pPr>
            <w:r>
              <w:rPr>
                <w:sz w:val="4"/>
                <w:szCs w:val="4"/>
              </w:rPr>
            </w:r>
          </w:p>
        </w:tc>
      </w:tr>
      <w:tr>
        <w:trPr/>
        <w:tc>
          <w:tcPr>
            <w:tcW w:w="1002" w:type="dxa"/>
            <w:tcBorders/>
          </w:tcPr>
          <w:p>
            <w:pPr>
              <w:pStyle w:val="TableContents"/>
              <w:bidi w:val="0"/>
              <w:spacing w:before="0" w:after="283"/>
              <w:jc w:val="left"/>
              <w:rPr/>
            </w:pPr>
            <w:r>
              <w:rPr/>
              <w:t>1.</w:t>
            </w:r>
          </w:p>
        </w:tc>
        <w:tc>
          <w:tcPr>
            <w:tcW w:w="381"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hyperlink w:anchor="d46310dex1.htm">
              <w:r>
                <w:rPr>
                  <w:rStyle w:val="InternetLink"/>
                </w:rPr>
                <w:t xml:space="preserve">Press release dated July 23, 2026 announcing second quarter 2026 results for Cemex, S.A.B. de C.V. (NYSE: CX) (“Cemex”). </w:t>
              </w:r>
            </w:hyperlink>
          </w:p>
        </w:tc>
      </w:tr>
      <w:tr>
        <w:trPr>
          <w:trHeight w:val="120" w:hRule="atLeast"/>
        </w:trPr>
        <w:tc>
          <w:tcPr>
            <w:tcW w:w="1002" w:type="dxa"/>
            <w:tcBorders/>
            <w:vAlign w:val="center"/>
          </w:tcPr>
          <w:p>
            <w:pPr>
              <w:pStyle w:val="TableContents"/>
              <w:bidi w:val="0"/>
              <w:spacing w:before="0" w:after="283"/>
              <w:jc w:val="left"/>
              <w:rPr>
                <w:sz w:val="4"/>
                <w:szCs w:val="4"/>
              </w:rPr>
            </w:pPr>
            <w:r>
              <w:rPr>
                <w:sz w:val="4"/>
                <w:szCs w:val="4"/>
              </w:rPr>
            </w:r>
          </w:p>
        </w:tc>
        <w:tc>
          <w:tcPr>
            <w:tcW w:w="9203" w:type="dxa"/>
            <w:gridSpan w:val="2"/>
            <w:tcBorders/>
            <w:vAlign w:val="center"/>
          </w:tcPr>
          <w:p>
            <w:pPr>
              <w:pStyle w:val="TableContents"/>
              <w:bidi w:val="0"/>
              <w:spacing w:before="0" w:after="283"/>
              <w:jc w:val="left"/>
              <w:rPr>
                <w:sz w:val="4"/>
                <w:szCs w:val="4"/>
              </w:rPr>
            </w:pPr>
            <w:r>
              <w:rPr>
                <w:sz w:val="4"/>
                <w:szCs w:val="4"/>
              </w:rPr>
            </w:r>
          </w:p>
        </w:tc>
      </w:tr>
      <w:tr>
        <w:trPr/>
        <w:tc>
          <w:tcPr>
            <w:tcW w:w="1002" w:type="dxa"/>
            <w:tcBorders/>
          </w:tcPr>
          <w:p>
            <w:pPr>
              <w:pStyle w:val="TableContents"/>
              <w:bidi w:val="0"/>
              <w:spacing w:before="0" w:after="283"/>
              <w:jc w:val="left"/>
              <w:rPr/>
            </w:pPr>
            <w:r>
              <w:rPr/>
              <w:t>2.</w:t>
            </w:r>
          </w:p>
        </w:tc>
        <w:tc>
          <w:tcPr>
            <w:tcW w:w="381"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hyperlink w:anchor="d46310dex2.htm">
              <w:r>
                <w:rPr>
                  <w:rStyle w:val="InternetLink"/>
                </w:rPr>
                <w:t xml:space="preserve">Second quarter 2026 results for Cemex. </w:t>
              </w:r>
            </w:hyperlink>
          </w:p>
        </w:tc>
      </w:tr>
      <w:tr>
        <w:trPr>
          <w:trHeight w:val="120" w:hRule="atLeast"/>
        </w:trPr>
        <w:tc>
          <w:tcPr>
            <w:tcW w:w="1002" w:type="dxa"/>
            <w:tcBorders/>
            <w:vAlign w:val="center"/>
          </w:tcPr>
          <w:p>
            <w:pPr>
              <w:pStyle w:val="TableContents"/>
              <w:bidi w:val="0"/>
              <w:spacing w:before="0" w:after="283"/>
              <w:jc w:val="left"/>
              <w:rPr>
                <w:sz w:val="4"/>
                <w:szCs w:val="4"/>
              </w:rPr>
            </w:pPr>
            <w:r>
              <w:rPr>
                <w:sz w:val="4"/>
                <w:szCs w:val="4"/>
              </w:rPr>
            </w:r>
          </w:p>
        </w:tc>
        <w:tc>
          <w:tcPr>
            <w:tcW w:w="9203" w:type="dxa"/>
            <w:gridSpan w:val="2"/>
            <w:tcBorders/>
            <w:vAlign w:val="center"/>
          </w:tcPr>
          <w:p>
            <w:pPr>
              <w:pStyle w:val="TableContents"/>
              <w:bidi w:val="0"/>
              <w:spacing w:before="0" w:after="283"/>
              <w:jc w:val="left"/>
              <w:rPr>
                <w:sz w:val="4"/>
                <w:szCs w:val="4"/>
              </w:rPr>
            </w:pPr>
            <w:r>
              <w:rPr>
                <w:sz w:val="4"/>
                <w:szCs w:val="4"/>
              </w:rPr>
            </w:r>
          </w:p>
        </w:tc>
      </w:tr>
      <w:tr>
        <w:trPr/>
        <w:tc>
          <w:tcPr>
            <w:tcW w:w="1002" w:type="dxa"/>
            <w:tcBorders/>
          </w:tcPr>
          <w:p>
            <w:pPr>
              <w:pStyle w:val="TableContents"/>
              <w:bidi w:val="0"/>
              <w:spacing w:before="0" w:after="283"/>
              <w:jc w:val="left"/>
              <w:rPr/>
            </w:pPr>
            <w:r>
              <w:rPr/>
              <w:t>3.</w:t>
            </w:r>
          </w:p>
        </w:tc>
        <w:tc>
          <w:tcPr>
            <w:tcW w:w="381" w:type="dxa"/>
            <w:tcBorders/>
            <w:vAlign w:val="bottom"/>
          </w:tcPr>
          <w:p>
            <w:pPr>
              <w:pStyle w:val="TableContents"/>
              <w:bidi w:val="0"/>
              <w:spacing w:before="0" w:after="283"/>
              <w:jc w:val="left"/>
              <w:rPr/>
            </w:pPr>
            <w:r>
              <w:rPr/>
              <w:t> </w:t>
            </w:r>
          </w:p>
        </w:tc>
        <w:tc>
          <w:tcPr>
            <w:tcW w:w="8822" w:type="dxa"/>
            <w:tcBorders/>
          </w:tcPr>
          <w:p>
            <w:pPr>
              <w:pStyle w:val="TableContents"/>
              <w:bidi w:val="0"/>
              <w:spacing w:before="0" w:after="283"/>
              <w:jc w:val="left"/>
              <w:rPr/>
            </w:pPr>
            <w:hyperlink w:anchor="d46310dex3.htm">
              <w:r>
                <w:rPr>
                  <w:rStyle w:val="InternetLink"/>
                </w:rPr>
                <w:t xml:space="preserve">Presentation regarding second quarter 2026 results for Cemex.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46310dex1.htm"/>
      <w:bookmarkStart w:id="3" w:name="ksd46310dex1"/>
      <w:bookmarkEnd w:id="2"/>
      <w:bookmarkEnd w:id="3"/>
      <w:r>
        <w:rPr>
          <w:rFonts w:ascii="Times New Roman" w:hAnsi="Times New Roman"/>
          <w:b/>
          <w:sz w:val="20"/>
        </w:rPr>
        <w:t xml:space="preserve">Exhibit 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3812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4572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Cemex reports 24% EBITDA growth and record 2Q FCF; </w:t>
      </w:r>
    </w:p>
    <w:p>
      <w:pPr>
        <w:pStyle w:val="TextBody"/>
        <w:bidi w:val="0"/>
        <w:spacing w:before="0" w:after="0"/>
        <w:jc w:val="center"/>
        <w:rPr>
          <w:rFonts w:ascii="Times New Roman" w:hAnsi="Times New Roman"/>
          <w:b/>
          <w:sz w:val="20"/>
        </w:rPr>
      </w:pPr>
      <w:r>
        <w:rPr>
          <w:rFonts w:ascii="Times New Roman" w:hAnsi="Times New Roman"/>
          <w:b/>
          <w:sz w:val="20"/>
        </w:rPr>
        <w:t xml:space="preserve">raises full-year EBITDA guidance to 16%-17% YoY growth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EBITDA in the quarter of US$1,018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Adjusting for one-off favorable settlement in Europe, consolidated sales grew 11%, EBITDA increased 19%, and EBIT expanded 29%.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 Cutting Edge savings target raised by US$75 million to US$475 million. </w:t>
            </w:r>
          </w:p>
        </w:tc>
      </w:tr>
    </w:tbl>
    <w:p>
      <w:pPr>
        <w:pStyle w:val="TextBody"/>
        <w:bidi w:val="0"/>
        <w:spacing w:before="240" w:after="0"/>
        <w:jc w:val="left"/>
        <w:rPr>
          <w:rFonts w:ascii="Times New Roman" w:hAnsi="Times New Roman"/>
          <w:sz w:val="20"/>
        </w:rPr>
      </w:pPr>
      <w:r>
        <w:rPr>
          <w:rFonts w:ascii="Times New Roman" w:hAnsi="Times New Roman"/>
          <w:b/>
          <w:sz w:val="20"/>
        </w:rPr>
        <w:t>Monterrey, Mexico. July</w:t>
      </w:r>
      <w:r>
        <w:rPr>
          <w:rFonts w:ascii="Times New Roman" w:hAnsi="Times New Roman"/>
          <w:sz w:val="20"/>
        </w:rPr>
        <w:t> </w:t>
      </w:r>
      <w:r>
        <w:rPr>
          <w:rFonts w:ascii="Times New Roman" w:hAnsi="Times New Roman"/>
          <w:b/>
          <w:sz w:val="20"/>
        </w:rPr>
        <w:t xml:space="preserve">23, 2026 </w:t>
      </w:r>
      <w:r>
        <w:rPr>
          <w:rFonts w:ascii="Times New Roman" w:hAnsi="Times New Roman"/>
          <w:sz w:val="20"/>
        </w:rPr>
        <w:t xml:space="preserve">– Cemex announced today its results for the second quarter of 2026, with strong growth across all metrics, driven by the progress made towards its transformation goals. EBITDA reached a record US$1 billion, increasing 24% year-over-year driven by Project Cutting Edge efficiencies and organic growth in most regions. EBITDA margin expanded by 2.1 percentage points to 22.2% and Free Cash Flow from Operations tripled year-over-year, reaching US$637 million. EBIT, a key transformation metric, grew 38%, underscoring higher earnings quality. </w:t>
      </w:r>
    </w:p>
    <w:p>
      <w:pPr>
        <w:pStyle w:val="TextBody"/>
        <w:bidi w:val="0"/>
        <w:spacing w:before="240" w:after="0"/>
        <w:jc w:val="left"/>
        <w:rPr>
          <w:rFonts w:ascii="Times New Roman" w:hAnsi="Times New Roman"/>
          <w:sz w:val="20"/>
        </w:rPr>
      </w:pPr>
      <w:r>
        <w:rPr>
          <w:rFonts w:ascii="Times New Roman" w:hAnsi="Times New Roman"/>
          <w:sz w:val="20"/>
        </w:rPr>
        <w:t xml:space="preserve">Cemex also raised its full-year EBITDA guidance from high single digit growth to 16% to 17% year-over-year growth1, based on first-half performance, outlook for the second half and continued contributions from Project Cutting Edge. </w:t>
      </w:r>
    </w:p>
    <w:p>
      <w:pPr>
        <w:pStyle w:val="TextBody"/>
        <w:bidi w:val="0"/>
        <w:spacing w:before="240" w:after="0"/>
        <w:jc w:val="left"/>
        <w:rPr/>
      </w:pPr>
      <w:r>
        <w:rPr/>
        <w:t>“</w:t>
      </w:r>
      <w:r>
        <w:rPr>
          <w:rFonts w:ascii="Times New Roman" w:hAnsi="Times New Roman"/>
          <w:sz w:val="20"/>
        </w:rPr>
        <w:t xml:space="preserve">Our strong second quarter results show that our transformation is delivering and gaining momentum,” said Jaime Muguiro, CEO of Cemex. “The improvement we are seeing across our key performance indicators is ahead of our expectations and reflects the discipline, execution and cultural change embraced by our teams across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successful execution of Project Cutting Edge savings plan has been a key driver of Cemex’s performance, with 80% of the original US$400 million savings target already achieved as of the second quarter. Cemex has now increased its recurring savings target to US$475 million, with the majority of the new savings expected to be realized in 2027. Most of these savings are expected to come from procurement, as Cemex fundamentally transforms its approach to third-party spending. </w:t>
      </w:r>
    </w:p>
    <w:p>
      <w:pPr>
        <w:pStyle w:val="TextBody"/>
        <w:bidi w:val="0"/>
        <w:spacing w:before="240" w:after="0"/>
        <w:jc w:val="left"/>
        <w:rPr>
          <w:rFonts w:ascii="Times New Roman" w:hAnsi="Times New Roman"/>
          <w:sz w:val="20"/>
        </w:rPr>
      </w:pPr>
      <w:r>
        <w:rPr>
          <w:rFonts w:ascii="Times New Roman" w:hAnsi="Times New Roman"/>
          <w:sz w:val="20"/>
        </w:rPr>
        <w:t xml:space="preserve">Regional performance underscored the resilience of Cemex’s diversified footprint, with three of four regions delivering EBITDA growth. Mexico continued to outperform expectations, driven by cost efficiencies, improving demand, and operating leverage. Despite challenging weather conditions in the United States, demand remained broadly stable. In EMEA, EBITDA expanded 9%, excluding the favorable one-off claim, supported by operational excellence and pricing. In South, Central America and the Caribbean, EBITDA grew 34%, reflecting strong cost discipline.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Cemex’s Consolidated 2026 Second Quarter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6"/>
        <w:gridCol w:w="150"/>
        <w:gridCol w:w="60"/>
        <w:gridCol w:w="560"/>
        <w:gridCol w:w="275"/>
        <w:gridCol w:w="92"/>
        <w:gridCol w:w="60"/>
        <w:gridCol w:w="560"/>
        <w:gridCol w:w="275"/>
        <w:gridCol w:w="92"/>
        <w:gridCol w:w="64"/>
        <w:gridCol w:w="617"/>
        <w:gridCol w:w="356"/>
        <w:gridCol w:w="92"/>
        <w:gridCol w:w="124"/>
        <w:gridCol w:w="541"/>
        <w:gridCol w:w="275"/>
        <w:gridCol w:w="92"/>
        <w:gridCol w:w="60"/>
        <w:gridCol w:w="560"/>
        <w:gridCol w:w="275"/>
        <w:gridCol w:w="92"/>
        <w:gridCol w:w="60"/>
        <w:gridCol w:w="560"/>
        <w:gridCol w:w="275"/>
        <w:gridCol w:w="92"/>
        <w:gridCol w:w="64"/>
        <w:gridCol w:w="617"/>
        <w:gridCol w:w="275"/>
        <w:gridCol w:w="92"/>
        <w:gridCol w:w="124"/>
        <w:gridCol w:w="541"/>
        <w:gridCol w:w="287"/>
      </w:tblGrid>
      <w:tr>
        <w:trPr/>
        <w:tc>
          <w:tcPr>
            <w:tcW w:w="194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9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768" w:type="dxa"/>
            <w:gridSpan w:val="14"/>
            <w:tcBorders/>
            <w:vAlign w:val="bottom"/>
          </w:tcPr>
          <w:p>
            <w:pPr>
              <w:pStyle w:val="TableContents"/>
              <w:bidi w:val="0"/>
              <w:spacing w:before="0" w:after="283"/>
              <w:jc w:val="center"/>
              <w:rPr>
                <w:b/>
              </w:rPr>
            </w:pPr>
            <w:r>
              <w:rPr>
                <w:b/>
              </w:rPr>
              <w:t>January - June</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3687" w:type="dxa"/>
            <w:gridSpan w:val="14"/>
            <w:tcBorders/>
            <w:vAlign w:val="bottom"/>
          </w:tcPr>
          <w:p>
            <w:pPr>
              <w:pStyle w:val="TableContents"/>
              <w:bidi w:val="0"/>
              <w:spacing w:before="0" w:after="283"/>
              <w:jc w:val="center"/>
              <w:rPr>
                <w:b/>
              </w:rPr>
            </w:pPr>
            <w:r>
              <w:rPr>
                <w:b/>
              </w:rPr>
              <w:t>Second Quarter</w:t>
            </w:r>
          </w:p>
        </w:tc>
        <w:tc>
          <w:tcPr>
            <w:tcW w:w="287" w:type="dxa"/>
            <w:tcBorders/>
            <w:vAlign w:val="bottom"/>
          </w:tcPr>
          <w:p>
            <w:pPr>
              <w:pStyle w:val="TableContents"/>
              <w:bidi w:val="0"/>
              <w:spacing w:before="0" w:after="283"/>
              <w:jc w:val="left"/>
              <w:rPr/>
            </w:pPr>
            <w:r>
              <w:rPr/>
              <w:t> </w:t>
            </w:r>
          </w:p>
        </w:tc>
      </w:tr>
      <w:tr>
        <w:trPr/>
        <w:tc>
          <w:tcPr>
            <w:tcW w:w="194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287" w:type="dxa"/>
            <w:tcBorders/>
            <w:vAlign w:val="bottom"/>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8,613</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7,707</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12</w:t>
            </w:r>
          </w:p>
        </w:tc>
        <w:tc>
          <w:tcPr>
            <w:tcW w:w="3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4,593</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4,093</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7</w:t>
            </w:r>
          </w:p>
        </w:tc>
        <w:tc>
          <w:tcPr>
            <w:tcW w:w="287" w:type="dxa"/>
            <w:tcBorders/>
            <w:shd w:fill="CCEEFF" w:val="clear"/>
            <w:vAlign w:val="bottom"/>
          </w:tcPr>
          <w:p>
            <w:pPr>
              <w:pStyle w:val="TableContents"/>
              <w:bidi w:val="0"/>
              <w:spacing w:before="0" w:after="283"/>
              <w:jc w:val="left"/>
              <w:rPr/>
            </w:pPr>
            <w:r>
              <w:rPr/>
              <w:t>% </w:t>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1,812</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1,417</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28</w:t>
            </w:r>
          </w:p>
        </w:tc>
        <w:tc>
          <w:tcPr>
            <w:tcW w:w="3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20</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1,018</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822</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24</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18</w:t>
            </w:r>
          </w:p>
        </w:tc>
        <w:tc>
          <w:tcPr>
            <w:tcW w:w="287" w:type="dxa"/>
            <w:tcBorders/>
            <w:vAlign w:val="bottom"/>
          </w:tcPr>
          <w:p>
            <w:pPr>
              <w:pStyle w:val="TableContents"/>
              <w:bidi w:val="0"/>
              <w:spacing w:before="0" w:after="283"/>
              <w:jc w:val="left"/>
              <w:rPr/>
            </w:pPr>
            <w:r>
              <w:rPr/>
              <w:t>% </w:t>
            </w:r>
          </w:p>
        </w:tc>
      </w:tr>
      <w:tr>
        <w:trPr/>
        <w:tc>
          <w:tcPr>
            <w:tcW w:w="19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21.0</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18.4</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2.6pp</w:t>
            </w:r>
          </w:p>
        </w:tc>
        <w:tc>
          <w:tcPr>
            <w:tcW w:w="35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22.2</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20.1</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2.1pp</w:t>
            </w:r>
          </w:p>
        </w:tc>
        <w:tc>
          <w:tcPr>
            <w:tcW w:w="27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1"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sz w:val="4"/>
                <w:szCs w:val="4"/>
              </w:rPr>
            </w:pPr>
            <w:r>
              <w:rPr>
                <w:sz w:val="4"/>
                <w:szCs w:val="4"/>
              </w:rPr>
            </w:r>
          </w:p>
        </w:tc>
      </w:tr>
      <w:tr>
        <w:trPr/>
        <w:tc>
          <w:tcPr>
            <w:tcW w:w="1946" w:type="dxa"/>
            <w:tcBorders/>
          </w:tcPr>
          <w:p>
            <w:pPr>
              <w:pStyle w:val="TableContents"/>
              <w:bidi w:val="0"/>
              <w:spacing w:before="0" w:after="0"/>
              <w:jc w:val="left"/>
              <w:rPr>
                <w:rFonts w:ascii="Times New Roman" w:hAnsi="Times New Roman"/>
                <w:sz w:val="20"/>
              </w:rPr>
            </w:pPr>
            <w:r>
              <w:rPr>
                <w:rFonts w:ascii="Times New Roman" w:hAnsi="Times New Roman"/>
                <w:sz w:val="20"/>
              </w:rPr>
              <w:t>Controlling interest net income (loss)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574</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1,052</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(45</w:t>
            </w:r>
          </w:p>
        </w:tc>
        <w:tc>
          <w:tcPr>
            <w:tcW w:w="35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347</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318</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1946"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356"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1"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7"/>
        <w:gridCol w:w="133"/>
        <w:gridCol w:w="60"/>
        <w:gridCol w:w="608"/>
        <w:gridCol w:w="275"/>
        <w:gridCol w:w="133"/>
        <w:gridCol w:w="60"/>
        <w:gridCol w:w="608"/>
        <w:gridCol w:w="275"/>
        <w:gridCol w:w="133"/>
        <w:gridCol w:w="919"/>
        <w:gridCol w:w="158"/>
        <w:gridCol w:w="124"/>
        <w:gridCol w:w="566"/>
        <w:gridCol w:w="367"/>
        <w:gridCol w:w="78"/>
        <w:gridCol w:w="59"/>
        <w:gridCol w:w="608"/>
        <w:gridCol w:w="275"/>
        <w:gridCol w:w="133"/>
        <w:gridCol w:w="60"/>
        <w:gridCol w:w="608"/>
        <w:gridCol w:w="275"/>
        <w:gridCol w:w="133"/>
        <w:gridCol w:w="700"/>
        <w:gridCol w:w="158"/>
        <w:gridCol w:w="101"/>
        <w:gridCol w:w="611"/>
        <w:gridCol w:w="380"/>
      </w:tblGrid>
      <w:tr>
        <w:trPr/>
        <w:tc>
          <w:tcPr>
            <w:tcW w:w="16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1607"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919" w:type="dxa"/>
            <w:gridSpan w:val="12"/>
            <w:tcBorders/>
            <w:vAlign w:val="bottom"/>
          </w:tcPr>
          <w:p>
            <w:pPr>
              <w:pStyle w:val="TableContents"/>
              <w:bidi w:val="0"/>
              <w:spacing w:before="0" w:after="283"/>
              <w:jc w:val="center"/>
              <w:rPr>
                <w:b/>
              </w:rPr>
            </w:pPr>
            <w:r>
              <w:rPr>
                <w:b/>
              </w:rPr>
              <w:t>January - June</w:t>
            </w:r>
          </w:p>
        </w:tc>
        <w:tc>
          <w:tcPr>
            <w:tcW w:w="3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721" w:type="dxa"/>
            <w:gridSpan w:val="12"/>
            <w:tcBorders/>
            <w:vAlign w:val="bottom"/>
          </w:tcPr>
          <w:p>
            <w:pPr>
              <w:pStyle w:val="TableContents"/>
              <w:bidi w:val="0"/>
              <w:spacing w:before="0" w:after="283"/>
              <w:jc w:val="center"/>
              <w:rPr>
                <w:b/>
              </w:rPr>
            </w:pPr>
            <w:r>
              <w:rPr>
                <w:b/>
              </w:rPr>
              <w:t>Second Quarter</w:t>
            </w:r>
          </w:p>
        </w:tc>
        <w:tc>
          <w:tcPr>
            <w:tcW w:w="380" w:type="dxa"/>
            <w:tcBorders/>
            <w:vAlign w:val="bottom"/>
          </w:tcPr>
          <w:p>
            <w:pPr>
              <w:pStyle w:val="TableContents"/>
              <w:bidi w:val="0"/>
              <w:spacing w:before="0" w:after="283"/>
              <w:jc w:val="left"/>
              <w:rPr/>
            </w:pPr>
            <w:r>
              <w:rPr/>
              <w:t> </w:t>
            </w:r>
          </w:p>
        </w:tc>
      </w:tr>
      <w:tr>
        <w:trPr/>
        <w:tc>
          <w:tcPr>
            <w:tcW w:w="1607"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var</w:t>
            </w:r>
          </w:p>
        </w:tc>
        <w:tc>
          <w:tcPr>
            <w:tcW w:w="158" w:type="dxa"/>
            <w:tcBorders/>
            <w:vAlign w:val="bottom"/>
          </w:tcPr>
          <w:p>
            <w:pPr>
              <w:pStyle w:val="TableContents"/>
              <w:bidi w:val="0"/>
              <w:spacing w:before="0" w:after="283"/>
              <w:jc w:val="left"/>
              <w:rPr/>
            </w:pPr>
            <w:r>
              <w:rPr/>
              <w:t>  </w:t>
            </w:r>
          </w:p>
        </w:tc>
        <w:tc>
          <w:tcPr>
            <w:tcW w:w="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3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 var</w:t>
            </w:r>
          </w:p>
        </w:tc>
        <w:tc>
          <w:tcPr>
            <w:tcW w:w="158"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380" w:type="dxa"/>
            <w:tcBorders/>
            <w:vAlign w:val="bottom"/>
          </w:tcPr>
          <w:p>
            <w:pPr>
              <w:pStyle w:val="TableContents"/>
              <w:bidi w:val="0"/>
              <w:spacing w:before="0" w:after="283"/>
              <w:jc w:val="left"/>
              <w:rPr/>
            </w:pPr>
            <w:r>
              <w:rPr/>
              <w:t> </w:t>
            </w:r>
          </w:p>
        </w:tc>
      </w:tr>
      <w:tr>
        <w:trPr/>
        <w:tc>
          <w:tcPr>
            <w:tcW w:w="16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Mexico</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919"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2,567</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2,041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right"/>
              <w:rPr/>
            </w:pPr>
            <w:r>
              <w:rPr/>
              <w:t>26%</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11</w:t>
            </w:r>
          </w:p>
        </w:tc>
        <w:tc>
          <w:tcPr>
            <w:tcW w:w="3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1,311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1,060</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12</w:t>
            </w:r>
          </w:p>
        </w:tc>
        <w:tc>
          <w:tcPr>
            <w:tcW w:w="380" w:type="dxa"/>
            <w:tcBorders/>
            <w:vAlign w:val="bottom"/>
          </w:tcPr>
          <w:p>
            <w:pPr>
              <w:pStyle w:val="TableContents"/>
              <w:bidi w:val="0"/>
              <w:spacing w:before="0" w:after="283"/>
              <w:jc w:val="left"/>
              <w:rPr/>
            </w:pPr>
            <w:r>
              <w:rPr/>
              <w:t>% </w:t>
            </w:r>
          </w:p>
        </w:tc>
      </w:tr>
      <w:tr>
        <w:trPr/>
        <w:tc>
          <w:tcPr>
            <w:tcW w:w="1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945</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655</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19" w:type="dxa"/>
            <w:tcBorders/>
            <w:shd w:fill="CCEEFF" w:val="clear"/>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26</w:t>
            </w:r>
          </w:p>
        </w:tc>
        <w:tc>
          <w:tcPr>
            <w:tcW w:w="3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491</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347</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tcPr>
          <w:p>
            <w:pPr>
              <w:pStyle w:val="TableContents"/>
              <w:bidi w:val="0"/>
              <w:spacing w:before="0" w:after="283"/>
              <w:jc w:val="right"/>
              <w:rPr/>
            </w:pPr>
            <w:r>
              <w:rPr/>
              <w:t>42%</w:t>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27</w:t>
            </w:r>
          </w:p>
        </w:tc>
        <w:tc>
          <w:tcPr>
            <w:tcW w:w="380" w:type="dxa"/>
            <w:tcBorders/>
            <w:shd w:fill="CCEEFF" w:val="clear"/>
            <w:vAlign w:val="bottom"/>
          </w:tcPr>
          <w:p>
            <w:pPr>
              <w:pStyle w:val="TableContents"/>
              <w:bidi w:val="0"/>
              <w:spacing w:before="0" w:after="283"/>
              <w:jc w:val="left"/>
              <w:rPr/>
            </w:pPr>
            <w:r>
              <w:rPr/>
              <w:t>% </w:t>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36.8</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32.1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center"/>
              <w:rPr/>
            </w:pPr>
            <w:r>
              <w:rPr/>
              <w:t>4.7pp</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37.5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32.7</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center"/>
              <w:rPr/>
            </w:pPr>
            <w:r>
              <w:rPr/>
              <w:t>4.8pp</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16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16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United States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66"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2,511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2,496</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w:t>
            </w:r>
          </w:p>
        </w:tc>
        <w:tc>
          <w:tcPr>
            <w:tcW w:w="3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1,315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1,306</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right"/>
              <w:rPr/>
            </w:pPr>
            <w:r>
              <w:rPr/>
              <w:t>1%</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w:t>
            </w:r>
          </w:p>
        </w:tc>
        <w:tc>
          <w:tcPr>
            <w:tcW w:w="380" w:type="dxa"/>
            <w:tcBorders/>
            <w:vAlign w:val="bottom"/>
          </w:tcPr>
          <w:p>
            <w:pPr>
              <w:pStyle w:val="TableContents"/>
              <w:bidi w:val="0"/>
              <w:spacing w:before="0" w:after="283"/>
              <w:jc w:val="left"/>
              <w:rPr/>
            </w:pPr>
            <w:r>
              <w:rPr/>
              <w:t>% </w:t>
            </w:r>
          </w:p>
        </w:tc>
      </w:tr>
      <w:tr>
        <w:trPr/>
        <w:tc>
          <w:tcPr>
            <w:tcW w:w="1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438</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468</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19" w:type="dxa"/>
            <w:tcBorders/>
            <w:shd w:fill="CCEEFF" w:val="clear"/>
          </w:tcPr>
          <w:p>
            <w:pPr>
              <w:pStyle w:val="TableContents"/>
              <w:bidi w:val="0"/>
              <w:spacing w:before="0" w:after="283"/>
              <w:jc w:val="right"/>
              <w:rPr/>
            </w:pPr>
            <w:r>
              <w:rPr/>
              <w:t>(6%)</w:t>
            </w:r>
          </w:p>
        </w:tc>
        <w:tc>
          <w:tcPr>
            <w:tcW w:w="15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(6</w:t>
            </w:r>
          </w:p>
        </w:tc>
        <w:tc>
          <w:tcPr>
            <w:tcW w:w="3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248</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279</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tcPr>
          <w:p>
            <w:pPr>
              <w:pStyle w:val="TableContents"/>
              <w:bidi w:val="0"/>
              <w:spacing w:before="0" w:after="283"/>
              <w:jc w:val="right"/>
              <w:rPr/>
            </w:pPr>
            <w:r>
              <w:rPr/>
              <w:t>(11%)</w:t>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(11</w:t>
            </w:r>
          </w:p>
        </w:tc>
        <w:tc>
          <w:tcPr>
            <w:tcW w:w="380" w:type="dxa"/>
            <w:tcBorders/>
            <w:shd w:fill="CCEEFF" w:val="clear"/>
            <w:vAlign w:val="bottom"/>
          </w:tcPr>
          <w:p>
            <w:pPr>
              <w:pStyle w:val="TableContents"/>
              <w:bidi w:val="0"/>
              <w:spacing w:before="0" w:after="283"/>
              <w:jc w:val="left"/>
              <w:rPr/>
            </w:pPr>
            <w:r>
              <w:rPr/>
              <w:t>%) </w:t>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18.8</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center"/>
              <w:rPr/>
            </w:pPr>
            <w:r>
              <w:rPr/>
              <w:t>(1.3pp)</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18.9</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21.3</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center"/>
              <w:rPr/>
            </w:pPr>
            <w:r>
              <w:rPr/>
              <w:t>(2.4pp)</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16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5659" w:type="dxa"/>
            <w:gridSpan w:val="1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Europe, Middle East and Africa</w:t>
            </w:r>
          </w:p>
        </w:tc>
        <w:tc>
          <w:tcPr>
            <w:tcW w:w="367" w:type="dxa"/>
            <w:tcBorders/>
            <w:shd w:fill="CCEEFF" w:val="clear"/>
          </w:tcPr>
          <w:p>
            <w:pPr>
              <w:pStyle w:val="TableContents"/>
              <w:bidi w:val="0"/>
              <w:spacing w:before="0" w:after="0"/>
              <w:jc w:val="left"/>
              <w:rPr/>
            </w:pPr>
            <w:r>
              <w:rPr/>
              <w:t> </w:t>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2,681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2,411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5</w:t>
            </w:r>
          </w:p>
        </w:tc>
        <w:tc>
          <w:tcPr>
            <w:tcW w:w="3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1,518</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1,341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right"/>
              <w:rPr/>
            </w:pPr>
            <w:r>
              <w:rPr/>
              <w:t>13%</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9</w:t>
            </w:r>
          </w:p>
        </w:tc>
        <w:tc>
          <w:tcPr>
            <w:tcW w:w="380" w:type="dxa"/>
            <w:tcBorders/>
            <w:vAlign w:val="bottom"/>
          </w:tcPr>
          <w:p>
            <w:pPr>
              <w:pStyle w:val="TableContents"/>
              <w:bidi w:val="0"/>
              <w:spacing w:before="0" w:after="283"/>
              <w:jc w:val="left"/>
              <w:rPr/>
            </w:pPr>
            <w:r>
              <w:rPr/>
              <w:t>% </w:t>
            </w:r>
          </w:p>
        </w:tc>
      </w:tr>
      <w:tr>
        <w:trPr/>
        <w:tc>
          <w:tcPr>
            <w:tcW w:w="1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444</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346</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19" w:type="dxa"/>
            <w:tcBorders/>
            <w:shd w:fill="CCEEFF" w:val="clear"/>
          </w:tcPr>
          <w:p>
            <w:pPr>
              <w:pStyle w:val="TableContents"/>
              <w:bidi w:val="0"/>
              <w:spacing w:before="0" w:after="283"/>
              <w:jc w:val="right"/>
              <w:rPr/>
            </w:pPr>
            <w:r>
              <w:rPr/>
              <w:t>28%</w:t>
            </w:r>
          </w:p>
        </w:tc>
        <w:tc>
          <w:tcPr>
            <w:tcW w:w="15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23</w:t>
            </w:r>
          </w:p>
        </w:tc>
        <w:tc>
          <w:tcPr>
            <w:tcW w:w="3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293</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229</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tcPr>
          <w:p>
            <w:pPr>
              <w:pStyle w:val="TableContents"/>
              <w:bidi w:val="0"/>
              <w:spacing w:before="0" w:after="283"/>
              <w:jc w:val="right"/>
              <w:rPr/>
            </w:pPr>
            <w:r>
              <w:rPr/>
              <w:t>28%</w:t>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24</w:t>
            </w:r>
          </w:p>
        </w:tc>
        <w:tc>
          <w:tcPr>
            <w:tcW w:w="380" w:type="dxa"/>
            <w:tcBorders/>
            <w:shd w:fill="CCEEFF" w:val="clear"/>
            <w:vAlign w:val="bottom"/>
          </w:tcPr>
          <w:p>
            <w:pPr>
              <w:pStyle w:val="TableContents"/>
              <w:bidi w:val="0"/>
              <w:spacing w:before="0" w:after="283"/>
              <w:jc w:val="left"/>
              <w:rPr/>
            </w:pPr>
            <w:r>
              <w:rPr/>
              <w:t>% </w:t>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14.4</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center"/>
              <w:rPr/>
            </w:pPr>
            <w:r>
              <w:rPr/>
              <w:t>2.2pp</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19.3</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17.1</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center"/>
              <w:rPr/>
            </w:pPr>
            <w:r>
              <w:rPr/>
              <w:t>2.2pp</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16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5659" w:type="dxa"/>
            <w:gridSpan w:val="1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South, Central America and the Caribbean</w:t>
            </w:r>
          </w:p>
        </w:tc>
        <w:tc>
          <w:tcPr>
            <w:tcW w:w="367" w:type="dxa"/>
            <w:tcBorders/>
            <w:shd w:fill="CCEEFF" w:val="clear"/>
          </w:tcPr>
          <w:p>
            <w:pPr>
              <w:pStyle w:val="TableContents"/>
              <w:bidi w:val="0"/>
              <w:spacing w:before="0" w:after="0"/>
              <w:jc w:val="left"/>
              <w:rPr/>
            </w:pPr>
            <w:r>
              <w:rPr/>
              <w:t> </w:t>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611"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602</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566</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right"/>
              <w:rPr/>
            </w:pPr>
            <w:r>
              <w:rPr/>
              <w:t>6%</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w:t>
            </w:r>
          </w:p>
        </w:tc>
        <w:tc>
          <w:tcPr>
            <w:tcW w:w="36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307</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285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right"/>
              <w:rPr/>
            </w:pPr>
            <w:r>
              <w:rPr/>
              <w:t>7%</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right"/>
              <w:rPr/>
            </w:pPr>
            <w:r>
              <w:rPr/>
              <w:t>(1</w:t>
            </w:r>
          </w:p>
        </w:tc>
        <w:tc>
          <w:tcPr>
            <w:tcW w:w="380" w:type="dxa"/>
            <w:tcBorders/>
            <w:vAlign w:val="bottom"/>
          </w:tcPr>
          <w:p>
            <w:pPr>
              <w:pStyle w:val="TableContents"/>
              <w:bidi w:val="0"/>
              <w:spacing w:before="0" w:after="283"/>
              <w:jc w:val="left"/>
              <w:rPr/>
            </w:pPr>
            <w:r>
              <w:rPr/>
              <w:t>%) </w:t>
            </w:r>
          </w:p>
        </w:tc>
      </w:tr>
      <w:tr>
        <w:trPr/>
        <w:tc>
          <w:tcPr>
            <w:tcW w:w="1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133</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105</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919" w:type="dxa"/>
            <w:tcBorders/>
            <w:shd w:fill="CCEEFF" w:val="clear"/>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19</w:t>
            </w:r>
          </w:p>
        </w:tc>
        <w:tc>
          <w:tcPr>
            <w:tcW w:w="36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66</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700" w:type="dxa"/>
            <w:tcBorders/>
            <w:shd w:fill="CCEEFF" w:val="clear"/>
          </w:tcPr>
          <w:p>
            <w:pPr>
              <w:pStyle w:val="TableContents"/>
              <w:bidi w:val="0"/>
              <w:spacing w:before="0" w:after="283"/>
              <w:jc w:val="right"/>
              <w:rPr/>
            </w:pPr>
            <w:r>
              <w:rPr/>
              <w:t>34%</w:t>
            </w:r>
          </w:p>
        </w:tc>
        <w:tc>
          <w:tcPr>
            <w:tcW w:w="158"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11" w:type="dxa"/>
            <w:tcBorders/>
            <w:shd w:fill="CCEEFF" w:val="clear"/>
            <w:vAlign w:val="bottom"/>
          </w:tcPr>
          <w:p>
            <w:pPr>
              <w:pStyle w:val="TableContents"/>
              <w:bidi w:val="0"/>
              <w:spacing w:before="0" w:after="283"/>
              <w:jc w:val="right"/>
              <w:rPr/>
            </w:pPr>
            <w:r>
              <w:rPr/>
              <w:t>25</w:t>
            </w:r>
          </w:p>
        </w:tc>
        <w:tc>
          <w:tcPr>
            <w:tcW w:w="380" w:type="dxa"/>
            <w:tcBorders/>
            <w:shd w:fill="CCEEFF" w:val="clear"/>
            <w:vAlign w:val="bottom"/>
          </w:tcPr>
          <w:p>
            <w:pPr>
              <w:pStyle w:val="TableContents"/>
              <w:bidi w:val="0"/>
              <w:spacing w:before="0" w:after="283"/>
              <w:jc w:val="left"/>
              <w:rPr/>
            </w:pPr>
            <w:r>
              <w:rPr/>
              <w:t>% </w:t>
            </w:r>
          </w:p>
        </w:tc>
      </w:tr>
      <w:tr>
        <w:trPr/>
        <w:tc>
          <w:tcPr>
            <w:tcW w:w="16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22.0</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18.5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tcPr>
          <w:p>
            <w:pPr>
              <w:pStyle w:val="TableContents"/>
              <w:bidi w:val="0"/>
              <w:spacing w:before="0" w:after="283"/>
              <w:jc w:val="center"/>
              <w:rPr/>
            </w:pPr>
            <w:r>
              <w:rPr/>
              <w:t>3.5pp</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21.7</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17.4</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tcPr>
          <w:p>
            <w:pPr>
              <w:pStyle w:val="TableContents"/>
              <w:bidi w:val="0"/>
              <w:spacing w:before="0" w:after="283"/>
              <w:jc w:val="center"/>
              <w:rPr/>
            </w:pPr>
            <w:r>
              <w:rPr/>
              <w:t>4.3pp</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r>
        <w:trPr/>
        <w:tc>
          <w:tcPr>
            <w:tcW w:w="16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6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8"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240" w:after="0"/>
        <w:jc w:val="left"/>
        <w:rPr>
          <w:rFonts w:ascii="Times New Roman" w:hAnsi="Times New Roman"/>
          <w:i/>
          <w:sz w:val="20"/>
        </w:rPr>
      </w:pPr>
      <w:r>
        <w:rPr>
          <w:rFonts w:ascii="Times New Roman" w:hAnsi="Times New Roman"/>
          <w:i/>
          <w:sz w:val="20"/>
        </w:rPr>
        <w:t xml:space="preserve">Note: All references to EBITDA mean Operating EBITDA and all references to margin refer to Operating EBITDA margin. </w:t>
      </w:r>
    </w:p>
    <w:p>
      <w:pPr>
        <w:pStyle w:val="TextBody"/>
        <w:bidi w:val="0"/>
        <w:spacing w:before="0" w:after="0"/>
        <w:jc w:val="left"/>
        <w:rPr>
          <w:rFonts w:ascii="Times New Roman" w:hAnsi="Times New Roman"/>
          <w:i/>
          <w:sz w:val="20"/>
        </w:rPr>
      </w:pPr>
      <w:r>
        <w:rPr>
          <w:rFonts w:ascii="Times New Roman" w:hAnsi="Times New Roman"/>
          <w:i/>
          <w:sz w:val="20"/>
        </w:rPr>
        <w:t xml:space="preserve">1) Like-to-like for ongoing operations and assumes FX rate range of $18.25 to $18.50 MXN per USD for 2H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Cemex </w:t>
      </w:r>
    </w:p>
    <w:p>
      <w:pPr>
        <w:pStyle w:val="TextBody"/>
        <w:bidi w:val="0"/>
        <w:spacing w:before="120" w:after="0"/>
        <w:jc w:val="left"/>
        <w:rPr>
          <w:rFonts w:ascii="Times New Roman" w:hAnsi="Times New Roman"/>
          <w:sz w:val="20"/>
        </w:rPr>
      </w:pPr>
      <w:r>
        <w:rPr>
          <w:rFonts w:ascii="Times New Roman" w:hAnsi="Times New Roman"/>
          <w:sz w:val="20"/>
        </w:rPr>
        <w:t xml:space="preserve">Cemex is a multinational construction materials company focused on building a better future for communities worldwide. The company produces and markets cement, ready-mix concrete, aggregates, and related construction materials such as admixtures and mortars, enabling construction projects across its markets. Through customer-centric solutions, operational excellence, and continuous innovation, Cemex delivers high-performance materials that meet the industry’s evolving needs. With a workforce of around 40,000 people worldwide, Cemex provides reliable, sustainable, and high-quality products and services, partnering with its customers to deliver solutions that create long-term value. For more information, visit cemex.com and connect with us on LinkedIn.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w:t>
      </w:r>
    </w:p>
    <w:p>
      <w:pPr>
        <w:pStyle w:val="TextBody"/>
        <w:bidi w:val="0"/>
        <w:spacing w:before="120" w:after="0"/>
        <w:jc w:val="left"/>
        <w:rPr>
          <w:rFonts w:ascii="Times New Roman" w:hAnsi="Times New Roman"/>
          <w:sz w:val="20"/>
        </w:rPr>
      </w:pPr>
      <w:r>
        <w:rPr>
          <w:rFonts w:ascii="Times New Roman" w:hAnsi="Times New Roman"/>
          <w:sz w:val="20"/>
        </w:rPr>
        <w:t xml:space="preserve">Analyst and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Patricio Treviño Garza </w:t>
      </w:r>
    </w:p>
    <w:p>
      <w:pPr>
        <w:pStyle w:val="TextBody"/>
        <w:bidi w:val="0"/>
        <w:spacing w:before="0" w:after="0"/>
        <w:jc w:val="left"/>
        <w:rPr>
          <w:rFonts w:ascii="Times New Roman" w:hAnsi="Times New Roman"/>
          <w:sz w:val="20"/>
        </w:rPr>
      </w:pPr>
      <w:r>
        <w:rPr>
          <w:rFonts w:ascii="Times New Roman" w:hAnsi="Times New Roman"/>
          <w:sz w:val="20"/>
        </w:rPr>
        <w:t xml:space="preserve">+52 (81) 8888-4327 </w:t>
      </w:r>
    </w:p>
    <w:p>
      <w:pPr>
        <w:pStyle w:val="TextBody"/>
        <w:bidi w:val="0"/>
        <w:spacing w:before="0" w:after="0"/>
        <w:jc w:val="left"/>
        <w:rPr>
          <w:rFonts w:ascii="Times New Roman" w:hAnsi="Times New Roman"/>
          <w:sz w:val="20"/>
        </w:rPr>
      </w:pPr>
      <w:r>
        <w:rPr>
          <w:rFonts w:ascii="Times New Roman" w:hAnsi="Times New Roman"/>
          <w:sz w:val="20"/>
          <w:u w:val="single"/>
        </w:rPr>
        <w:t>ir@cemex.com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Jorge Pérez </w:t>
      </w:r>
    </w:p>
    <w:p>
      <w:pPr>
        <w:pStyle w:val="TextBody"/>
        <w:bidi w:val="0"/>
        <w:spacing w:before="0" w:after="0"/>
        <w:jc w:val="left"/>
        <w:rPr>
          <w:rFonts w:ascii="Times New Roman" w:hAnsi="Times New Roman"/>
          <w:sz w:val="20"/>
        </w:rPr>
      </w:pPr>
      <w:r>
        <w:rPr>
          <w:rFonts w:ascii="Times New Roman" w:hAnsi="Times New Roman"/>
          <w:sz w:val="20"/>
        </w:rPr>
        <w:t xml:space="preserve">+52 (81) 8259-6666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jorgeluis.perez@cemex.com </w:t>
      </w:r>
    </w:p>
    <w:p>
      <w:pPr>
        <w:pStyle w:val="TextBody"/>
        <w:bidi w:val="0"/>
        <w:spacing w:before="240" w:after="0"/>
        <w:jc w:val="center"/>
        <w:rPr>
          <w:rFonts w:ascii="Times New Roman" w:hAnsi="Times New Roman"/>
          <w:i/>
          <w:sz w:val="20"/>
        </w:rPr>
      </w:pP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Except as the context otherwise may require, references in this press release to “we,” “us,” “our,” or similar expressions refer to Cemex, S.A.B. de C.V. (“Cemex”) (NYSE: CX; BMV: CEMEX.CPO) and its consolidated entities. The information disclosed in this press release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including but not limited to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this press release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press release to differ or fail to materialize, or that otherwise could have an impact on us, include those discussed in our most recent annual report and those detailed from time to time in our other filings with the U.S. Securities and the Exchange Commission (“SEC”), Mexican National Banking and Securities Commission (Comisión Nacional Bancaria y de Valores, the “CNBV”) and the Mexican Stock Exchange (Bolsa Mexicana de Valores,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import and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China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Many factors could cause our expectations, expected results, and/or projections expressed in this press release and in the events referenced herein not being reached and/or not producing the expected benefits and/or results, as any such benefits or results are subject to uncertainties, costs, performance, and also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this press release,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this press release are made and stated as of the dates specified in such referenced press release and are subject to change without notice; and, except to the extent legally required, we expressly disclaim any obligation or undertaking to update or correct the information contained in this press release, or revise any forward-looking statements in such referenced press release,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this press release and events referenced herein not attributed to a specific source are our estimates and have not been independently verified. Certain financial and statistical information contained in this press release is subject to rounding adjustments; accordingly, any discrepancies between the totals and the sums of the amounts listed are due to rounding. Unless otherwise specified, all references to records are our internal records. This press release includes certain non-International Financial Reporting Standards (“IFRS”) financial measures that differ from financial information presented by us in accordance with IFRS in our financial statements and reports containing financial information. The aforementioned non-IFRS financial measures include “Operating EBITDA” or “EBITDA” (operating earnings before other expenses, net plus depreciation and amortization), “Operating EBITDA Margin” or “EBITDA Margin” (Operating EBITDA for the period divided by revenues reported for the same period), “Operating EBIT” or “EBIT” (operating earnings before other expenses, net), and “Free Cash Flow from Operations” (Operating EBITDA minus net interest paid, maintenance capital expenditures, maintenance lease payments, fixed asset sales, change in working capital, net taxes paid, and other cash expenditures). The closest IFRS financial measure to Operating EBITDA is “Operating earnings before other expenses, net”, as Operating EBITDA adds depreciation and amortization to the IFRS financial measure. We believe there is no close IFRS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financial measure to compare to Operating EBITDA Margin. The closest IFRS financial measure to Operating EBIT is “Operating earnings before other expenses, net”. We believe there is no close IFRS financial measure to compare to Free Cash Flow from Operations. These non-IFRS financial measures are designed to complement and should not be considered superior to financial measures calculated in accordance with IFRS. Although Operating EBITDA, Operating EBITDA Margin, Operating EBIT and Free Cash Flow from Operations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this press release are being provided for informative purposes only and shall not be construed as investment, financial, or other advice. Also, this press release includes statistical data regarding the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this press release. We act in strict compliance with antitrust laws and as such, among other measures, maintain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this press release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press release. Cautionary Statement Regarding Environmental, Social, and Governance (“ESG”) and Sustainability-Related Data, Metrics, and Methodologies. This press release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this press release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press release, and the reader may not be able to compare non-financial information performance metrics, data points, or targets between reporting periods on a direct like-for-like basis. Additionally, the information disclosed in this press release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Cautionary Statement Regarding Forward-Looking ESG or Sustainability Statements. Certain sections in this press release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and regulations,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w:t>
      </w:r>
    </w:p>
    <w:p>
      <w:pPr>
        <w:pStyle w:val="TextBody"/>
        <w:bidi w:val="0"/>
        <w:spacing w:before="240" w:after="0"/>
        <w:jc w:val="center"/>
        <w:rPr>
          <w:rFonts w:ascii="Times New Roman" w:hAnsi="Times New Roman"/>
          <w:i/>
          <w:sz w:val="20"/>
        </w:rPr>
      </w:pPr>
      <w:r>
        <w:rPr>
          <w:rFonts w:ascii="Times New Roman" w:hAnsi="Times New Roman"/>
          <w:i/>
          <w:sz w:val="20"/>
        </w:rPr>
        <w:t xml:space="preserve">UNLESS OTHERWISE NOTED, ALL MONETARY FIGURES ARE PRESENTED IN DOLLARS, BASED ON INTERNATIONAL FINANCIAL REPORTING STANDARDS,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4" w:name="d46310dex2.htm"/>
      <w:bookmarkStart w:id="5" w:name="ksd46310dex2"/>
      <w:bookmarkEnd w:id="4"/>
      <w:bookmarkEnd w:id="5"/>
      <w:r>
        <w:rPr>
          <w:rFonts w:ascii="Times New Roman" w:hAnsi="Times New Roman"/>
          <w:b/>
          <w:sz w:val="20"/>
        </w:rPr>
        <w:t xml:space="preserve">Exhibit 2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809750"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9750" cy="409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Second Quarter Results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6257925" cy="390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57925" cy="39052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i/>
          <w:sz w:val="20"/>
        </w:rPr>
      </w:pPr>
      <w:r>
        <w:rPr>
          <w:rFonts w:ascii="Times New Roman" w:hAnsi="Times New Roman"/>
          <w:i/>
          <w:sz w:val="20"/>
        </w:rPr>
        <w:t xml:space="preserve">Sixth Street Viaduct, Los Angeles, United States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0"/>
        <w:gridCol w:w="109"/>
        <w:gridCol w:w="3056"/>
        <w:gridCol w:w="123"/>
        <w:gridCol w:w="2705"/>
        <w:gridCol w:w="123"/>
        <w:gridCol w:w="1949"/>
      </w:tblGrid>
      <w:tr>
        <w:trPr/>
        <w:tc>
          <w:tcPr>
            <w:tcW w:w="214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214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056" w:type="dxa"/>
            <w:tcBorders/>
          </w:tcPr>
          <w:p>
            <w:pPr>
              <w:pStyle w:val="TableContents"/>
              <w:bidi w:val="0"/>
              <w:spacing w:before="0" w:after="0"/>
              <w:jc w:val="right"/>
              <w:rPr>
                <w:rFonts w:ascii="Times New Roman" w:hAnsi="Times New Roman"/>
                <w:b/>
                <w:sz w:val="20"/>
              </w:rPr>
            </w:pPr>
            <w:r>
              <w:rPr>
                <w:rFonts w:ascii="Times New Roman" w:hAnsi="Times New Roman"/>
                <w:b/>
                <w:sz w:val="20"/>
              </w:rPr>
              <w:t>Stock Listing Information</w:t>
            </w:r>
          </w:p>
          <w:p>
            <w:pPr>
              <w:pStyle w:val="TableContents"/>
              <w:bidi w:val="0"/>
              <w:spacing w:before="0" w:after="0"/>
              <w:jc w:val="left"/>
              <w:rPr/>
            </w:pPr>
            <w:r>
              <w:rPr/>
              <w:t> </w:t>
            </w:r>
          </w:p>
          <w:p>
            <w:pPr>
              <w:pStyle w:val="TableContents"/>
              <w:bidi w:val="0"/>
              <w:spacing w:before="0" w:after="0"/>
              <w:jc w:val="right"/>
              <w:rPr>
                <w:rFonts w:ascii="Times New Roman" w:hAnsi="Times New Roman"/>
                <w:sz w:val="20"/>
              </w:rPr>
            </w:pPr>
            <w:r>
              <w:rPr>
                <w:rFonts w:ascii="Times New Roman" w:hAnsi="Times New Roman"/>
                <w:sz w:val="20"/>
              </w:rPr>
              <w:t>NYSE (ADS)</w:t>
            </w:r>
          </w:p>
          <w:p>
            <w:pPr>
              <w:pStyle w:val="TableContents"/>
              <w:bidi w:val="0"/>
              <w:spacing w:before="0" w:after="0"/>
              <w:jc w:val="right"/>
              <w:rPr>
                <w:rFonts w:ascii="Times New Roman" w:hAnsi="Times New Roman"/>
                <w:sz w:val="20"/>
              </w:rPr>
            </w:pPr>
            <w:r>
              <w:rPr>
                <w:rFonts w:ascii="Times New Roman" w:hAnsi="Times New Roman"/>
                <w:sz w:val="20"/>
              </w:rPr>
              <w:t>Ticker: CX</w:t>
            </w:r>
          </w:p>
          <w:p>
            <w:pPr>
              <w:pStyle w:val="TableContents"/>
              <w:bidi w:val="0"/>
              <w:spacing w:before="0" w:after="0"/>
              <w:jc w:val="right"/>
              <w:rPr>
                <w:rFonts w:ascii="Times New Roman" w:hAnsi="Times New Roman"/>
                <w:sz w:val="20"/>
              </w:rPr>
            </w:pPr>
            <w:r>
              <w:rPr>
                <w:rFonts w:ascii="Times New Roman" w:hAnsi="Times New Roman"/>
                <w:sz w:val="20"/>
              </w:rPr>
              <w:t>Mexican Stock Exchange (CPO)</w:t>
            </w:r>
          </w:p>
          <w:p>
            <w:pPr>
              <w:pStyle w:val="TableContents"/>
              <w:bidi w:val="0"/>
              <w:spacing w:before="0" w:after="0"/>
              <w:jc w:val="right"/>
              <w:rPr>
                <w:rFonts w:ascii="Times New Roman" w:hAnsi="Times New Roman"/>
                <w:sz w:val="20"/>
              </w:rPr>
            </w:pPr>
            <w:r>
              <w:rPr>
                <w:rFonts w:ascii="Times New Roman" w:hAnsi="Times New Roman"/>
                <w:sz w:val="20"/>
              </w:rPr>
              <w:t>Ticker: CEMEX.CPO</w:t>
            </w:r>
          </w:p>
          <w:p>
            <w:pPr>
              <w:pStyle w:val="TableContents"/>
              <w:bidi w:val="0"/>
              <w:spacing w:before="0" w:after="20"/>
              <w:jc w:val="right"/>
              <w:rPr>
                <w:rFonts w:ascii="Times New Roman" w:hAnsi="Times New Roman"/>
                <w:sz w:val="20"/>
              </w:rPr>
            </w:pPr>
            <w:r>
              <w:rPr>
                <w:rFonts w:ascii="Times New Roman" w:hAnsi="Times New Roman"/>
                <w:sz w:val="20"/>
              </w:rPr>
              <w:t>Ratio of CEMEXCPO to CX = 10:1</w:t>
            </w:r>
          </w:p>
        </w:tc>
        <w:tc>
          <w:tcPr>
            <w:tcW w:w="123" w:type="dxa"/>
            <w:tcBorders/>
            <w:vAlign w:val="bottom"/>
          </w:tcPr>
          <w:p>
            <w:pPr>
              <w:pStyle w:val="TableContents"/>
              <w:bidi w:val="0"/>
              <w:spacing w:before="0" w:after="283"/>
              <w:jc w:val="left"/>
              <w:rPr/>
            </w:pPr>
            <w:r>
              <w:rPr/>
              <w:t>  </w:t>
            </w:r>
          </w:p>
        </w:tc>
        <w:tc>
          <w:tcPr>
            <w:tcW w:w="2705" w:type="dxa"/>
            <w:tcBorders/>
          </w:tcPr>
          <w:p>
            <w:pPr>
              <w:pStyle w:val="TableContents"/>
              <w:bidi w:val="0"/>
              <w:spacing w:before="0" w:after="0"/>
              <w:jc w:val="right"/>
              <w:rPr>
                <w:rFonts w:ascii="Times New Roman" w:hAnsi="Times New Roman"/>
                <w:b/>
                <w:sz w:val="20"/>
              </w:rPr>
            </w:pPr>
            <w:r>
              <w:rPr>
                <w:rFonts w:ascii="Times New Roman" w:hAnsi="Times New Roman"/>
                <w:b/>
                <w:sz w:val="20"/>
              </w:rPr>
              <w:t>Investor Relations</w:t>
            </w:r>
          </w:p>
          <w:p>
            <w:pPr>
              <w:pStyle w:val="TableContents"/>
              <w:bidi w:val="0"/>
              <w:spacing w:before="0" w:after="0"/>
              <w:jc w:val="left"/>
              <w:rPr/>
            </w:pPr>
            <w:r>
              <w:rPr/>
              <w:t> </w:t>
            </w:r>
          </w:p>
          <w:p>
            <w:pPr>
              <w:pStyle w:val="TableContents"/>
              <w:bidi w:val="0"/>
              <w:spacing w:before="0" w:after="0"/>
              <w:jc w:val="right"/>
              <w:rPr>
                <w:rFonts w:ascii="Times New Roman" w:hAnsi="Times New Roman"/>
                <w:sz w:val="20"/>
              </w:rPr>
            </w:pPr>
            <w:r>
              <w:rPr>
                <w:rFonts w:ascii="Times New Roman" w:hAnsi="Times New Roman"/>
                <w:sz w:val="20"/>
              </w:rPr>
              <w:t>In the United States:</w:t>
            </w:r>
          </w:p>
          <w:p>
            <w:pPr>
              <w:pStyle w:val="TableContents"/>
              <w:bidi w:val="0"/>
              <w:spacing w:before="0" w:after="0"/>
              <w:jc w:val="right"/>
              <w:rPr>
                <w:rFonts w:ascii="Times New Roman" w:hAnsi="Times New Roman"/>
                <w:sz w:val="20"/>
              </w:rPr>
            </w:pPr>
            <w:r>
              <w:rPr>
                <w:rFonts w:ascii="Times New Roman" w:hAnsi="Times New Roman"/>
                <w:sz w:val="20"/>
              </w:rPr>
              <w:t>+ 1 877 7CX NYSE</w:t>
            </w:r>
          </w:p>
          <w:p>
            <w:pPr>
              <w:pStyle w:val="TableContents"/>
              <w:bidi w:val="0"/>
              <w:spacing w:before="0" w:after="0"/>
              <w:jc w:val="right"/>
              <w:rPr>
                <w:rFonts w:ascii="Times New Roman" w:hAnsi="Times New Roman"/>
                <w:sz w:val="20"/>
              </w:rPr>
            </w:pPr>
            <w:r>
              <w:rPr>
                <w:rFonts w:ascii="Times New Roman" w:hAnsi="Times New Roman"/>
                <w:sz w:val="20"/>
              </w:rPr>
              <w:t>In Mexico:</w:t>
            </w:r>
          </w:p>
          <w:p>
            <w:pPr>
              <w:pStyle w:val="TableContents"/>
              <w:bidi w:val="0"/>
              <w:spacing w:before="0" w:after="0"/>
              <w:jc w:val="right"/>
              <w:rPr>
                <w:rFonts w:ascii="Times New Roman" w:hAnsi="Times New Roman"/>
                <w:sz w:val="20"/>
              </w:rPr>
            </w:pPr>
            <w:r>
              <w:rPr>
                <w:rFonts w:ascii="Times New Roman" w:hAnsi="Times New Roman"/>
                <w:sz w:val="20"/>
              </w:rPr>
              <w:t>+ 52 (81) 8888 4327</w:t>
            </w:r>
          </w:p>
          <w:p>
            <w:pPr>
              <w:pStyle w:val="TableContents"/>
              <w:bidi w:val="0"/>
              <w:spacing w:before="0" w:after="20"/>
              <w:jc w:val="right"/>
              <w:rPr>
                <w:rFonts w:ascii="Times New Roman" w:hAnsi="Times New Roman"/>
                <w:sz w:val="20"/>
              </w:rPr>
            </w:pPr>
            <w:r>
              <w:rPr>
                <w:rFonts w:ascii="Times New Roman" w:hAnsi="Times New Roman"/>
                <w:sz w:val="20"/>
              </w:rPr>
              <w:t>E-Mail: ir@cemex.com</w:t>
            </w:r>
          </w:p>
        </w:tc>
        <w:tc>
          <w:tcPr>
            <w:tcW w:w="123" w:type="dxa"/>
            <w:tcBorders/>
            <w:vAlign w:val="bottom"/>
          </w:tcPr>
          <w:p>
            <w:pPr>
              <w:pStyle w:val="TableContents"/>
              <w:bidi w:val="0"/>
              <w:spacing w:before="0" w:after="283"/>
              <w:jc w:val="left"/>
              <w:rPr/>
            </w:pPr>
            <w:r>
              <w:rPr/>
              <w:t>  </w:t>
            </w:r>
          </w:p>
        </w:tc>
        <w:tc>
          <w:tcPr>
            <w:tcW w:w="194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and financial highlights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0"/>
        <w:gridCol w:w="125"/>
        <w:gridCol w:w="60"/>
        <w:gridCol w:w="680"/>
        <w:gridCol w:w="276"/>
        <w:gridCol w:w="66"/>
        <w:gridCol w:w="60"/>
        <w:gridCol w:w="680"/>
        <w:gridCol w:w="276"/>
        <w:gridCol w:w="66"/>
        <w:gridCol w:w="59"/>
        <w:gridCol w:w="636"/>
        <w:gridCol w:w="350"/>
        <w:gridCol w:w="66"/>
        <w:gridCol w:w="124"/>
        <w:gridCol w:w="544"/>
        <w:gridCol w:w="276"/>
        <w:gridCol w:w="66"/>
        <w:gridCol w:w="60"/>
        <w:gridCol w:w="680"/>
        <w:gridCol w:w="276"/>
        <w:gridCol w:w="66"/>
        <w:gridCol w:w="59"/>
        <w:gridCol w:w="680"/>
        <w:gridCol w:w="276"/>
        <w:gridCol w:w="66"/>
        <w:gridCol w:w="60"/>
        <w:gridCol w:w="636"/>
        <w:gridCol w:w="350"/>
        <w:gridCol w:w="66"/>
        <w:gridCol w:w="124"/>
        <w:gridCol w:w="544"/>
        <w:gridCol w:w="292"/>
      </w:tblGrid>
      <w:tr>
        <w:trPr/>
        <w:tc>
          <w:tcPr>
            <w:tcW w:w="156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5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777" w:type="dxa"/>
            <w:gridSpan w:val="6"/>
            <w:tcBorders/>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3943" w:type="dxa"/>
            <w:gridSpan w:val="14"/>
            <w:tcBorders/>
            <w:vAlign w:val="bottom"/>
          </w:tcPr>
          <w:p>
            <w:pPr>
              <w:pStyle w:val="TableContents"/>
              <w:bidi w:val="0"/>
              <w:spacing w:before="0" w:after="283"/>
              <w:jc w:val="center"/>
              <w:rPr>
                <w:b/>
              </w:rPr>
            </w:pPr>
            <w:r>
              <w:rPr>
                <w:b/>
              </w:rPr>
              <w:t>Second Quarter</w:t>
            </w:r>
          </w:p>
        </w:tc>
        <w:tc>
          <w:tcPr>
            <w:tcW w:w="292" w:type="dxa"/>
            <w:tcBorders/>
            <w:vAlign w:val="bottom"/>
          </w:tcPr>
          <w:p>
            <w:pPr>
              <w:pStyle w:val="TableContents"/>
              <w:bidi w:val="0"/>
              <w:spacing w:before="0" w:after="283"/>
              <w:jc w:val="left"/>
              <w:rPr/>
            </w:pPr>
            <w:r>
              <w:rPr/>
              <w:t> </w:t>
            </w:r>
          </w:p>
        </w:tc>
      </w:tr>
      <w:tr>
        <w:trPr/>
        <w:tc>
          <w:tcPr>
            <w:tcW w:w="15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92" w:type="dxa"/>
            <w:tcBorders/>
            <w:vAlign w:val="bottom"/>
          </w:tcPr>
          <w:p>
            <w:pPr>
              <w:pStyle w:val="TableContents"/>
              <w:bidi w:val="0"/>
              <w:spacing w:before="0" w:after="283"/>
              <w:jc w:val="left"/>
              <w:rPr/>
            </w:pPr>
            <w:r>
              <w:rPr/>
              <w:t> </w:t>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volumes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Domestic gray cement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21,492</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21,311</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11,311</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11,212</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Ready-mix</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20,946</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21,191</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10,848</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10,802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Aggregates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63,139</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63,565</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32,967</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33,519</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8,613</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7,707</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5</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4,593</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4,093</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7</w:t>
            </w:r>
          </w:p>
        </w:tc>
        <w:tc>
          <w:tcPr>
            <w:tcW w:w="292" w:type="dxa"/>
            <w:tcBorders/>
            <w:shd w:fill="CCEEFF" w:val="clear"/>
            <w:vAlign w:val="bottom"/>
          </w:tcPr>
          <w:p>
            <w:pPr>
              <w:pStyle w:val="TableContents"/>
              <w:bidi w:val="0"/>
              <w:spacing w:before="0" w:after="283"/>
              <w:jc w:val="left"/>
              <w:rPr/>
            </w:pPr>
            <w:r>
              <w:rPr/>
              <w:t>% </w:t>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2,938</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2,522</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1,618</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1,398</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30</w:t>
            </w:r>
          </w:p>
        </w:tc>
        <w:tc>
          <w:tcPr>
            <w:tcW w:w="292" w:type="dxa"/>
            <w:tcBorders/>
            <w:vAlign w:val="bottom"/>
          </w:tcPr>
          <w:p>
            <w:pPr>
              <w:pStyle w:val="TableContents"/>
              <w:bidi w:val="0"/>
              <w:spacing w:before="0" w:after="283"/>
              <w:jc w:val="left"/>
              <w:rPr/>
            </w:pPr>
            <w:r>
              <w:rPr/>
              <w:t>% </w:t>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 of Sales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34.1</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32.7</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1.4</w:t>
            </w:r>
          </w:p>
        </w:tc>
        <w:tc>
          <w:tcPr>
            <w:tcW w:w="350" w:type="dxa"/>
            <w:tcBorders/>
            <w:shd w:fill="CCEEFF" w:val="clear"/>
            <w:vAlign w:val="bottom"/>
          </w:tcPr>
          <w:p>
            <w:pPr>
              <w:pStyle w:val="TableContents"/>
              <w:bidi w:val="0"/>
              <w:spacing w:before="0" w:after="283"/>
              <w:jc w:val="left"/>
              <w:rPr/>
            </w:pPr>
            <w:r>
              <w:rPr/>
              <w:t>pp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35.2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1.0pp</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earnings before other income and expenses, net</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1,133</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785</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44</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33</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681</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495</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38</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30</w:t>
            </w:r>
          </w:p>
        </w:tc>
        <w:tc>
          <w:tcPr>
            <w:tcW w:w="292" w:type="dxa"/>
            <w:tcBorders/>
            <w:vAlign w:val="bottom"/>
          </w:tcPr>
          <w:p>
            <w:pPr>
              <w:pStyle w:val="TableContents"/>
              <w:bidi w:val="0"/>
              <w:spacing w:before="0" w:after="283"/>
              <w:jc w:val="left"/>
              <w:rPr/>
            </w:pPr>
            <w:r>
              <w:rPr/>
              <w:t>% </w:t>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 of Sales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3.0pp</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14.8</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12.1</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2.7pp</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SG&amp;A expenses as % of Sales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9.1</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(1.0pp</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9.7</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(0.7pp</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Controlling interest net income (loss)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574</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(45</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347</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318</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1,812</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1,417</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20</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1,018</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822</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18</w:t>
            </w:r>
          </w:p>
        </w:tc>
        <w:tc>
          <w:tcPr>
            <w:tcW w:w="292" w:type="dxa"/>
            <w:tcBorders/>
            <w:vAlign w:val="bottom"/>
          </w:tcPr>
          <w:p>
            <w:pPr>
              <w:pStyle w:val="TableContents"/>
              <w:bidi w:val="0"/>
              <w:spacing w:before="0" w:after="283"/>
              <w:jc w:val="left"/>
              <w:rPr/>
            </w:pPr>
            <w:r>
              <w:rPr/>
              <w:t>% </w:t>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 of Sales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21.0</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18.4</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2.6pp</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20.1</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2.1pp</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Free cash Flow from Operations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666</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(67</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637</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204</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212</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6,879</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6,921</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6,879</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6,921</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of continuing operations per ADS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0.40</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0.73</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(45</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0.24</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0.22</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Fully diluted earnings (loss) of continuing operations per ADS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0.39</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(45</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0.24</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0.22</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tcPr>
          <w:p>
            <w:pPr>
              <w:pStyle w:val="TableContents"/>
              <w:bidi w:val="0"/>
              <w:spacing w:before="0" w:after="0"/>
              <w:jc w:val="left"/>
              <w:rPr>
                <w:rFonts w:ascii="Times New Roman" w:hAnsi="Times New Roman"/>
                <w:sz w:val="20"/>
              </w:rPr>
            </w:pPr>
            <w:r>
              <w:rPr>
                <w:rFonts w:ascii="Times New Roman" w:hAnsi="Times New Roman"/>
                <w:sz w:val="20"/>
              </w:rPr>
              <w:t>Average ADSs outstanding (1)</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1,461</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1,470</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1,459</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1,469</w:t>
            </w:r>
          </w:p>
        </w:tc>
        <w:tc>
          <w:tcPr>
            <w:tcW w:w="27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r>
        <w:trPr/>
        <w:tc>
          <w:tcPr>
            <w:tcW w:w="1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Employees</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38,495</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42,108</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38,495</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42,108</w:t>
            </w:r>
          </w:p>
        </w:tc>
        <w:tc>
          <w:tcPr>
            <w:tcW w:w="27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r>
      <w:tr>
        <w:trPr/>
        <w:tc>
          <w:tcPr>
            <w:tcW w:w="1560"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report, Average ADSs outstanding equals the total number of Series A shares and Series B shares outstanding as if they were all held in ADS form. The calculation of Average ADSs outstanding also includes the restricted ADSs allocated to eligible employees as variable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Cement and aggregates volumes in thousands of metric tons. Ready-mix volumes in thousands of cubic meters. </w:t>
      </w:r>
    </w:p>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volumes, percentages, employees, and per-ADS amounts. Average ADSs outstanding are presented in millions.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10230" cy="177165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177165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Consolidated Net Sales reached US$4.6 billion in 2Q26, a 7% increase from 2Q25 on a like-to-like basis, supported by positive performance in Mexico and EMEA. </w:t>
                            </w:r>
                          </w:p>
                          <w:p>
                            <w:pPr>
                              <w:pStyle w:val="TextBody"/>
                              <w:bidi w:val="0"/>
                              <w:spacing w:before="240" w:after="0"/>
                              <w:jc w:val="left"/>
                              <w:rPr>
                                <w:rFonts w:ascii="Times New Roman" w:hAnsi="Times New Roman"/>
                                <w:sz w:val="20"/>
                              </w:rPr>
                            </w:pPr>
                            <w:r>
                              <w:rPr>
                                <w:rFonts w:ascii="Times New Roman" w:hAnsi="Times New Roman"/>
                                <w:sz w:val="20"/>
                              </w:rPr>
                              <w:t xml:space="preserve">Cost of sales, as a percentage of Net Sales, decreased by 1.1pp to 64.8% in 2Q26 compared with the same period last year, driven by efficiencies under Project Cutting Edge and a favorable energy environment.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as a percentage of Net Sales, decreased 1.7pp in 2Q26 to 20.4%, mainly benefiting from overhead savings under Project Cutting Edge.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Consolidated Net Sales reached US$4.6 billion in 2Q26, a 7% increase from 2Q25 on a like-to-like basis, supported by positive performance in Mexico and EMEA. </w:t>
                      </w:r>
                    </w:p>
                    <w:p>
                      <w:pPr>
                        <w:pStyle w:val="TextBody"/>
                        <w:bidi w:val="0"/>
                        <w:spacing w:before="240" w:after="0"/>
                        <w:jc w:val="left"/>
                        <w:rPr>
                          <w:rFonts w:ascii="Times New Roman" w:hAnsi="Times New Roman"/>
                          <w:sz w:val="20"/>
                        </w:rPr>
                      </w:pPr>
                      <w:r>
                        <w:rPr>
                          <w:rFonts w:ascii="Times New Roman" w:hAnsi="Times New Roman"/>
                          <w:sz w:val="20"/>
                        </w:rPr>
                        <w:t xml:space="preserve">Cost of sales, as a percentage of Net Sales, decreased by 1.1pp to 64.8% in 2Q26 compared with the same period last year, driven by efficiencies under Project Cutting Edge and a favorable energy environment.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as a percentage of Net Sales, decreased 1.7pp in 2Q26 to 20.4%, mainly benefiting from overhead savings under Project Cutting Edge. </w:t>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3175000" cy="235839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2358390"/>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reached US$1,018 million in 2Q26, increasing 18% on a like-to-like basis, including a favorable one-off settlement of an outstanding claim in Europe of US$42 million. Additionally, growth reflects cost savings of US$60 million this quarter, along with organic growth in most of our regions.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in 2Q26 increased 2.1pp to 22.2% year-on-year. Expansion is largely explained by structural efficiencies, pricing discipline, benefits from operating leverage as volumes recover in Mexico, as well as the favorable one-off in Europe. </w:t>
                            </w:r>
                          </w:p>
                          <w:p>
                            <w:pPr>
                              <w:pStyle w:val="TextBody"/>
                              <w:bidi w:val="0"/>
                              <w:spacing w:before="240" w:after="0"/>
                              <w:jc w:val="left"/>
                              <w:rPr>
                                <w:rFonts w:ascii="Times New Roman" w:hAnsi="Times New Roman"/>
                                <w:sz w:val="20"/>
                              </w:rPr>
                            </w:pPr>
                            <w:r>
                              <w:rPr>
                                <w:rFonts w:ascii="Times New Roman" w:hAnsi="Times New Roman"/>
                                <w:sz w:val="20"/>
                              </w:rPr>
                              <w:t xml:space="preserve">Controlling interest net income of US$347 million in 2Q26 increased 9% year-on-year driven by robust operating performance.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5.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reached US$1,018 million in 2Q26, increasing 18% on a like-to-like basis, including a favorable one-off settlement of an outstanding claim in Europe of US$42 million. Additionally, growth reflects cost savings of US$60 million this quarter, along with organic growth in most of our regions.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in 2Q26 increased 2.1pp to 22.2% year-on-year. Expansion is largely explained by structural efficiencies, pricing discipline, benefits from operating leverage as volumes recover in Mexico, as well as the favorable one-off in Europe. </w:t>
                      </w:r>
                    </w:p>
                    <w:p>
                      <w:pPr>
                        <w:pStyle w:val="TextBody"/>
                        <w:bidi w:val="0"/>
                        <w:spacing w:before="240" w:after="0"/>
                        <w:jc w:val="left"/>
                        <w:rPr>
                          <w:rFonts w:ascii="Times New Roman" w:hAnsi="Times New Roman"/>
                          <w:sz w:val="20"/>
                        </w:rPr>
                      </w:pPr>
                      <w:r>
                        <w:rPr>
                          <w:rFonts w:ascii="Times New Roman" w:hAnsi="Times New Roman"/>
                          <w:sz w:val="20"/>
                        </w:rPr>
                        <w:t xml:space="preserve">Controlling interest net income of US$347 million in 2Q26 increased 9% year-on-year driven by robust operating performance.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2</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Mexico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6"/>
        <w:gridCol w:w="136"/>
        <w:gridCol w:w="60"/>
        <w:gridCol w:w="560"/>
        <w:gridCol w:w="275"/>
        <w:gridCol w:w="78"/>
        <w:gridCol w:w="60"/>
        <w:gridCol w:w="560"/>
        <w:gridCol w:w="275"/>
        <w:gridCol w:w="78"/>
        <w:gridCol w:w="64"/>
        <w:gridCol w:w="620"/>
        <w:gridCol w:w="275"/>
        <w:gridCol w:w="78"/>
        <w:gridCol w:w="123"/>
        <w:gridCol w:w="542"/>
        <w:gridCol w:w="275"/>
        <w:gridCol w:w="78"/>
        <w:gridCol w:w="60"/>
        <w:gridCol w:w="560"/>
        <w:gridCol w:w="275"/>
        <w:gridCol w:w="78"/>
        <w:gridCol w:w="60"/>
        <w:gridCol w:w="560"/>
        <w:gridCol w:w="275"/>
        <w:gridCol w:w="78"/>
        <w:gridCol w:w="64"/>
        <w:gridCol w:w="620"/>
        <w:gridCol w:w="275"/>
        <w:gridCol w:w="77"/>
        <w:gridCol w:w="124"/>
        <w:gridCol w:w="542"/>
        <w:gridCol w:w="284"/>
      </w:tblGrid>
      <w:tr>
        <w:trPr/>
        <w:tc>
          <w:tcPr>
            <w:tcW w:w="213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13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648" w:type="dxa"/>
            <w:gridSpan w:val="14"/>
            <w:tcBorders/>
            <w:vAlign w:val="bottom"/>
          </w:tcPr>
          <w:p>
            <w:pPr>
              <w:pStyle w:val="TableContents"/>
              <w:bidi w:val="0"/>
              <w:spacing w:before="0" w:after="283"/>
              <w:jc w:val="center"/>
              <w:rPr>
                <w:b/>
              </w:rPr>
            </w:pPr>
            <w:r>
              <w:rPr>
                <w:b/>
              </w:rPr>
              <w:t>January - June</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648" w:type="dxa"/>
            <w:gridSpan w:val="14"/>
            <w:tcBorders/>
            <w:vAlign w:val="bottom"/>
          </w:tcPr>
          <w:p>
            <w:pPr>
              <w:pStyle w:val="TableContents"/>
              <w:bidi w:val="0"/>
              <w:spacing w:before="0" w:after="283"/>
              <w:jc w:val="center"/>
              <w:rPr>
                <w:b/>
              </w:rPr>
            </w:pPr>
            <w:r>
              <w:rPr>
                <w:b/>
              </w:rPr>
              <w:t>Second Quarter</w:t>
            </w:r>
          </w:p>
        </w:tc>
        <w:tc>
          <w:tcPr>
            <w:tcW w:w="284" w:type="dxa"/>
            <w:tcBorders/>
            <w:vAlign w:val="bottom"/>
          </w:tcPr>
          <w:p>
            <w:pPr>
              <w:pStyle w:val="TableContents"/>
              <w:bidi w:val="0"/>
              <w:spacing w:before="0" w:after="283"/>
              <w:jc w:val="left"/>
              <w:rPr/>
            </w:pPr>
            <w:r>
              <w:rPr/>
              <w:t> </w:t>
            </w:r>
          </w:p>
        </w:tc>
      </w:tr>
      <w:tr>
        <w:trPr/>
        <w:tc>
          <w:tcPr>
            <w:tcW w:w="213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284" w:type="dxa"/>
            <w:tcBorders/>
            <w:vAlign w:val="bottom"/>
          </w:tcPr>
          <w:p>
            <w:pPr>
              <w:pStyle w:val="TableContents"/>
              <w:bidi w:val="0"/>
              <w:spacing w:before="0" w:after="283"/>
              <w:jc w:val="left"/>
              <w:rPr/>
            </w:pPr>
            <w:r>
              <w:rPr/>
              <w:t> </w:t>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2,567</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2,041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26</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1,311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1,060</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12</w:t>
            </w:r>
          </w:p>
        </w:tc>
        <w:tc>
          <w:tcPr>
            <w:tcW w:w="284" w:type="dxa"/>
            <w:tcBorders/>
            <w:shd w:fill="CCEEFF" w:val="clear"/>
            <w:vAlign w:val="bottom"/>
          </w:tcPr>
          <w:p>
            <w:pPr>
              <w:pStyle w:val="TableContents"/>
              <w:bidi w:val="0"/>
              <w:spacing w:before="0" w:after="283"/>
              <w:jc w:val="left"/>
              <w:rPr/>
            </w:pPr>
            <w:r>
              <w:rPr/>
              <w:t>% </w:t>
            </w:r>
          </w:p>
        </w:tc>
      </w:tr>
      <w:tr>
        <w:trPr/>
        <w:tc>
          <w:tcPr>
            <w:tcW w:w="213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945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655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26</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491</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347</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27</w:t>
            </w:r>
          </w:p>
        </w:tc>
        <w:tc>
          <w:tcPr>
            <w:tcW w:w="284" w:type="dxa"/>
            <w:tcBorders/>
            <w:vAlign w:val="bottom"/>
          </w:tcPr>
          <w:p>
            <w:pPr>
              <w:pStyle w:val="TableContents"/>
              <w:bidi w:val="0"/>
              <w:spacing w:before="0" w:after="283"/>
              <w:jc w:val="left"/>
              <w:rPr/>
            </w:pPr>
            <w:r>
              <w:rPr/>
              <w:t>% </w:t>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36.8</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4.7pp</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37.5</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32.7</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4.8pp</w:t>
            </w:r>
          </w:p>
        </w:tc>
        <w:tc>
          <w:tcPr>
            <w:tcW w:w="2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1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3388" w:type="dxa"/>
        <w:jc w:val="center"/>
        <w:tblInd w:w="0" w:type="dxa"/>
        <w:tblLayout w:type="fixed"/>
        <w:tblCellMar>
          <w:top w:w="0" w:type="dxa"/>
          <w:left w:w="0" w:type="dxa"/>
          <w:bottom w:w="0" w:type="dxa"/>
          <w:right w:w="0" w:type="dxa"/>
        </w:tblCellMar>
      </w:tblPr>
      <w:tblGrid>
        <w:gridCol w:w="1460"/>
        <w:gridCol w:w="120"/>
        <w:gridCol w:w="293"/>
        <w:gridCol w:w="1272"/>
        <w:gridCol w:w="275"/>
        <w:gridCol w:w="60"/>
        <w:gridCol w:w="307"/>
        <w:gridCol w:w="1333"/>
        <w:gridCol w:w="275"/>
        <w:gridCol w:w="60"/>
        <w:gridCol w:w="292"/>
        <w:gridCol w:w="1273"/>
        <w:gridCol w:w="376"/>
        <w:gridCol w:w="64"/>
        <w:gridCol w:w="302"/>
        <w:gridCol w:w="1338"/>
        <w:gridCol w:w="350"/>
        <w:gridCol w:w="60"/>
        <w:gridCol w:w="292"/>
        <w:gridCol w:w="1273"/>
        <w:gridCol w:w="327"/>
        <w:gridCol w:w="71"/>
        <w:gridCol w:w="304"/>
        <w:gridCol w:w="1336"/>
        <w:gridCol w:w="2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40" w:type="dxa"/>
            <w:gridSpan w:val="6"/>
            <w:tcBorders/>
            <w:vAlign w:val="bottom"/>
          </w:tcPr>
          <w:p>
            <w:pPr>
              <w:pStyle w:val="TableContents"/>
              <w:bidi w:val="0"/>
              <w:spacing w:before="0" w:after="283"/>
              <w:jc w:val="center"/>
              <w:rPr>
                <w:b/>
              </w:rPr>
            </w:pPr>
            <w:r>
              <w:rPr>
                <w:b/>
              </w:rPr>
              <w:t>Domestic gray cement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5"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3" w:type="dxa"/>
            <w:gridSpan w:val="6"/>
            <w:tcBorders/>
            <w:vAlign w:val="bottom"/>
          </w:tcPr>
          <w:p>
            <w:pPr>
              <w:pStyle w:val="TableContents"/>
              <w:bidi w:val="0"/>
              <w:spacing w:before="0" w:after="283"/>
              <w:jc w:val="center"/>
              <w:rPr>
                <w:b/>
              </w:rPr>
            </w:pPr>
            <w:r>
              <w:rPr>
                <w:b/>
              </w:rPr>
              <w:t>Aggregates</w:t>
            </w:r>
          </w:p>
        </w:tc>
        <w:tc>
          <w:tcPr>
            <w:tcW w:w="2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275"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5</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17</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18</w:t>
            </w:r>
          </w:p>
        </w:tc>
        <w:tc>
          <w:tcPr>
            <w:tcW w:w="327"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w:t>
            </w:r>
          </w:p>
        </w:tc>
        <w:tc>
          <w:tcPr>
            <w:tcW w:w="1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w:t>
            </w:r>
          </w:p>
        </w:tc>
        <w:tc>
          <w:tcPr>
            <w:tcW w:w="327"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376"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33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Mexico </w:t>
      </w:r>
      <w:r>
        <w:rPr>
          <w:rFonts w:ascii="Times New Roman" w:hAnsi="Times New Roman"/>
          <w:sz w:val="20"/>
        </w:rPr>
        <w:t xml:space="preserve">delivered strong results supported by cost efficiencies, improving demand, operating leverage, and a pricing strategy designed to offset input cost inflation. Operating EBITDA rose 27% on a like-to-like basis while Operating EBITDA margin expanded by 4.8pp in the quarter. Efforts to identify savings and achieve a best in class business model continued to pay off.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consecutive quarter, cement volumes posted year-over-year growth as self-construction and government-backed social programs, such as Rural Roads and housing, continued to underpin bagged cement demand, and residential demand drove bulk cement volumes. </w:t>
      </w:r>
    </w:p>
    <w:p>
      <w:pPr>
        <w:pStyle w:val="TextBody"/>
        <w:bidi w:val="0"/>
        <w:spacing w:before="120" w:after="0"/>
        <w:jc w:val="left"/>
        <w:rPr>
          <w:rFonts w:ascii="Times New Roman" w:hAnsi="Times New Roman"/>
          <w:sz w:val="20"/>
        </w:rPr>
      </w:pPr>
      <w:r>
        <w:rPr>
          <w:rFonts w:ascii="Times New Roman" w:hAnsi="Times New Roman"/>
          <w:sz w:val="20"/>
        </w:rPr>
        <w:t xml:space="preserve">The social housing program continues to scale and is a meaningful lever of growth in our business this quarter. </w:t>
      </w:r>
    </w:p>
    <w:p>
      <w:pPr>
        <w:pStyle w:val="TextBody"/>
        <w:bidi w:val="0"/>
        <w:spacing w:before="360" w:after="0"/>
        <w:jc w:val="left"/>
        <w:rPr>
          <w:rFonts w:ascii="Times New Roman" w:hAnsi="Times New Roman"/>
          <w:b/>
          <w:sz w:val="20"/>
        </w:rPr>
      </w:pPr>
      <w:r>
        <w:rPr>
          <w:rFonts w:ascii="Times New Roman" w:hAnsi="Times New Roman"/>
          <w:b/>
          <w:sz w:val="20"/>
        </w:rPr>
        <w:t xml:space="preserve">United States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05"/>
        <w:gridCol w:w="131"/>
        <w:gridCol w:w="60"/>
        <w:gridCol w:w="560"/>
        <w:gridCol w:w="275"/>
        <w:gridCol w:w="73"/>
        <w:gridCol w:w="60"/>
        <w:gridCol w:w="560"/>
        <w:gridCol w:w="275"/>
        <w:gridCol w:w="73"/>
        <w:gridCol w:w="60"/>
        <w:gridCol w:w="648"/>
        <w:gridCol w:w="355"/>
        <w:gridCol w:w="73"/>
        <w:gridCol w:w="145"/>
        <w:gridCol w:w="520"/>
        <w:gridCol w:w="355"/>
        <w:gridCol w:w="73"/>
        <w:gridCol w:w="60"/>
        <w:gridCol w:w="560"/>
        <w:gridCol w:w="275"/>
        <w:gridCol w:w="73"/>
        <w:gridCol w:w="60"/>
        <w:gridCol w:w="560"/>
        <w:gridCol w:w="275"/>
        <w:gridCol w:w="73"/>
        <w:gridCol w:w="60"/>
        <w:gridCol w:w="648"/>
        <w:gridCol w:w="355"/>
        <w:gridCol w:w="72"/>
        <w:gridCol w:w="101"/>
        <w:gridCol w:w="564"/>
        <w:gridCol w:w="368"/>
      </w:tblGrid>
      <w:tr>
        <w:trPr/>
        <w:tc>
          <w:tcPr>
            <w:tcW w:w="180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737" w:type="dxa"/>
            <w:gridSpan w:val="14"/>
            <w:tcBorders/>
            <w:vAlign w:val="bottom"/>
          </w:tcPr>
          <w:p>
            <w:pPr>
              <w:pStyle w:val="TableContents"/>
              <w:bidi w:val="0"/>
              <w:spacing w:before="0" w:after="283"/>
              <w:jc w:val="center"/>
              <w:rPr>
                <w:b/>
              </w:rPr>
            </w:pPr>
            <w:r>
              <w:rPr>
                <w:b/>
              </w:rPr>
              <w:t>January - June</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3736" w:type="dxa"/>
            <w:gridSpan w:val="14"/>
            <w:tcBorders/>
            <w:vAlign w:val="bottom"/>
          </w:tcPr>
          <w:p>
            <w:pPr>
              <w:pStyle w:val="TableContents"/>
              <w:bidi w:val="0"/>
              <w:spacing w:before="0" w:after="283"/>
              <w:jc w:val="center"/>
              <w:rPr>
                <w:b/>
              </w:rPr>
            </w:pPr>
            <w:r>
              <w:rPr>
                <w:b/>
              </w:rPr>
              <w:t>Second Quarter</w:t>
            </w:r>
          </w:p>
        </w:tc>
        <w:tc>
          <w:tcPr>
            <w:tcW w:w="368" w:type="dxa"/>
            <w:tcBorders/>
            <w:vAlign w:val="bottom"/>
          </w:tcPr>
          <w:p>
            <w:pPr>
              <w:pStyle w:val="TableContents"/>
              <w:bidi w:val="0"/>
              <w:spacing w:before="0" w:after="283"/>
              <w:jc w:val="left"/>
              <w:rPr/>
            </w:pPr>
            <w:r>
              <w:rPr/>
              <w:t> </w:t>
            </w:r>
          </w:p>
        </w:tc>
      </w:tr>
      <w:tr>
        <w:trPr/>
        <w:tc>
          <w:tcPr>
            <w:tcW w:w="180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pPr>
            <w:r>
              <w:rPr>
                <w:b/>
              </w:rPr>
              <w:t>l-t-l</w:t>
            </w:r>
            <w:r>
              <w:rPr/>
              <w:br/>
            </w:r>
            <w:r>
              <w:rPr>
                <w:b/>
              </w:rPr>
              <w:t>% var</w:t>
            </w:r>
          </w:p>
        </w:tc>
        <w:tc>
          <w:tcPr>
            <w:tcW w:w="368" w:type="dxa"/>
            <w:tcBorders/>
            <w:vAlign w:val="bottom"/>
          </w:tcPr>
          <w:p>
            <w:pPr>
              <w:pStyle w:val="TableContents"/>
              <w:bidi w:val="0"/>
              <w:spacing w:before="0" w:after="283"/>
              <w:jc w:val="left"/>
              <w:rPr/>
            </w:pPr>
            <w:r>
              <w:rPr/>
              <w:t> </w:t>
            </w:r>
          </w:p>
        </w:tc>
      </w:tr>
      <w:tr>
        <w:trPr/>
        <w:tc>
          <w:tcPr>
            <w:tcW w:w="1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2,511</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2,496</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1</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right"/>
              <w:rPr/>
            </w:pPr>
            <w:r>
              <w:rPr/>
              <w:t>1</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1,315</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1,306</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1</w:t>
            </w:r>
          </w:p>
        </w:tc>
        <w:tc>
          <w:tcPr>
            <w:tcW w:w="3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w:t>
            </w:r>
          </w:p>
        </w:tc>
        <w:tc>
          <w:tcPr>
            <w:tcW w:w="368" w:type="dxa"/>
            <w:tcBorders/>
            <w:shd w:fill="CCEEFF" w:val="clear"/>
            <w:vAlign w:val="bottom"/>
          </w:tcPr>
          <w:p>
            <w:pPr>
              <w:pStyle w:val="TableContents"/>
              <w:bidi w:val="0"/>
              <w:spacing w:before="0" w:after="283"/>
              <w:jc w:val="left"/>
              <w:rPr/>
            </w:pPr>
            <w:r>
              <w:rPr/>
              <w:t>% </w:t>
            </w:r>
          </w:p>
        </w:tc>
      </w:tr>
      <w:tr>
        <w:trPr/>
        <w:tc>
          <w:tcPr>
            <w:tcW w:w="180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438</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468</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(6</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right"/>
              <w:rPr/>
            </w:pPr>
            <w:r>
              <w:rPr/>
              <w:t>(6</w:t>
            </w:r>
          </w:p>
        </w:tc>
        <w:tc>
          <w:tcPr>
            <w:tcW w:w="3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248</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279</w:t>
            </w:r>
          </w:p>
        </w:tc>
        <w:tc>
          <w:tcPr>
            <w:tcW w:w="27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8" w:type="dxa"/>
            <w:tcBorders/>
            <w:vAlign w:val="bottom"/>
          </w:tcPr>
          <w:p>
            <w:pPr>
              <w:pStyle w:val="TableContents"/>
              <w:bidi w:val="0"/>
              <w:spacing w:before="0" w:after="283"/>
              <w:jc w:val="right"/>
              <w:rPr/>
            </w:pPr>
            <w:r>
              <w:rPr/>
              <w:t>(11</w:t>
            </w:r>
          </w:p>
        </w:tc>
        <w:tc>
          <w:tcPr>
            <w:tcW w:w="3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18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17.5</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18.8</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(1.3pp</w:t>
            </w:r>
          </w:p>
        </w:tc>
        <w:tc>
          <w:tcPr>
            <w:tcW w:w="3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18.9</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8" w:type="dxa"/>
            <w:tcBorders/>
            <w:shd w:fill="CCEEFF" w:val="clear"/>
            <w:vAlign w:val="bottom"/>
          </w:tcPr>
          <w:p>
            <w:pPr>
              <w:pStyle w:val="TableContents"/>
              <w:bidi w:val="0"/>
              <w:spacing w:before="0" w:after="283"/>
              <w:jc w:val="right"/>
              <w:rPr/>
            </w:pPr>
            <w:r>
              <w:rPr/>
              <w:t>(2.4pp</w:t>
            </w:r>
          </w:p>
        </w:tc>
        <w:tc>
          <w:tcPr>
            <w:tcW w:w="3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180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20"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8"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3709" w:type="dxa"/>
        <w:jc w:val="center"/>
        <w:tblInd w:w="0" w:type="dxa"/>
        <w:tblLayout w:type="fixed"/>
        <w:tblCellMar>
          <w:top w:w="0" w:type="dxa"/>
          <w:left w:w="0" w:type="dxa"/>
          <w:bottom w:w="0" w:type="dxa"/>
          <w:right w:w="0" w:type="dxa"/>
        </w:tblCellMar>
      </w:tblPr>
      <w:tblGrid>
        <w:gridCol w:w="1460"/>
        <w:gridCol w:w="120"/>
        <w:gridCol w:w="341"/>
        <w:gridCol w:w="1224"/>
        <w:gridCol w:w="350"/>
        <w:gridCol w:w="60"/>
        <w:gridCol w:w="357"/>
        <w:gridCol w:w="1283"/>
        <w:gridCol w:w="350"/>
        <w:gridCol w:w="60"/>
        <w:gridCol w:w="339"/>
        <w:gridCol w:w="1226"/>
        <w:gridCol w:w="411"/>
        <w:gridCol w:w="70"/>
        <w:gridCol w:w="352"/>
        <w:gridCol w:w="1288"/>
        <w:gridCol w:w="350"/>
        <w:gridCol w:w="60"/>
        <w:gridCol w:w="468"/>
        <w:gridCol w:w="1097"/>
        <w:gridCol w:w="434"/>
        <w:gridCol w:w="94"/>
        <w:gridCol w:w="484"/>
        <w:gridCol w:w="1156"/>
        <w:gridCol w:w="2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15" w:type="dxa"/>
            <w:gridSpan w:val="6"/>
            <w:tcBorders/>
            <w:vAlign w:val="bottom"/>
          </w:tcPr>
          <w:p>
            <w:pPr>
              <w:pStyle w:val="TableContents"/>
              <w:bidi w:val="0"/>
              <w:spacing w:before="0" w:after="283"/>
              <w:jc w:val="center"/>
              <w:rPr>
                <w:b/>
              </w:rPr>
            </w:pPr>
            <w:r>
              <w:rPr>
                <w:b/>
              </w:rPr>
              <w:t>Domestic gray cement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6"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3" w:type="dxa"/>
            <w:gridSpan w:val="6"/>
            <w:tcBorders/>
            <w:vAlign w:val="bottom"/>
          </w:tcPr>
          <w:p>
            <w:pPr>
              <w:pStyle w:val="TableContents"/>
              <w:bidi w:val="0"/>
              <w:spacing w:before="0" w:after="283"/>
              <w:jc w:val="center"/>
              <w:rPr>
                <w:b/>
              </w:rPr>
            </w:pPr>
            <w:r>
              <w:rPr>
                <w:b/>
              </w:rPr>
              <w:t>Aggregates</w:t>
            </w:r>
          </w:p>
        </w:tc>
        <w:tc>
          <w:tcPr>
            <w:tcW w:w="27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4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4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275"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w:t>
            </w:r>
          </w:p>
        </w:tc>
        <w:tc>
          <w:tcPr>
            <w:tcW w:w="4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5</w:t>
            </w:r>
          </w:p>
        </w:tc>
        <w:tc>
          <w:tcPr>
            <w:tcW w:w="43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w:t>
            </w:r>
          </w:p>
        </w:tc>
        <w:tc>
          <w:tcPr>
            <w:tcW w:w="4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w:t>
            </w:r>
          </w:p>
        </w:tc>
        <w:tc>
          <w:tcPr>
            <w:tcW w:w="43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w:t>
            </w:r>
          </w:p>
        </w:tc>
        <w:tc>
          <w:tcPr>
            <w:tcW w:w="1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w:t>
            </w:r>
          </w:p>
        </w:tc>
        <w:tc>
          <w:tcPr>
            <w:tcW w:w="4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w:t>
            </w:r>
          </w:p>
        </w:tc>
        <w:tc>
          <w:tcPr>
            <w:tcW w:w="43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41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United States</w:t>
      </w:r>
      <w:r>
        <w:rPr>
          <w:rFonts w:ascii="Times New Roman" w:hAnsi="Times New Roman"/>
          <w:sz w:val="20"/>
        </w:rPr>
        <w:t xml:space="preserve"> demand remained resilient despite unusually wet conditions in Texas and parts of the Mid-South. Adjusting for weather-related disruptions, we estimate that cement and ready-mix volumes would have both grown 1%, while aggregates would have expanded 7%. Cement volumes were supported by the integration of our new mortars business, Omega. </w:t>
      </w:r>
    </w:p>
    <w:p>
      <w:pPr>
        <w:pStyle w:val="TextBody"/>
        <w:bidi w:val="0"/>
        <w:spacing w:before="120" w:after="0"/>
        <w:jc w:val="left"/>
        <w:rPr>
          <w:rFonts w:ascii="Times New Roman" w:hAnsi="Times New Roman"/>
          <w:sz w:val="20"/>
        </w:rPr>
      </w:pPr>
      <w:r>
        <w:rPr>
          <w:rFonts w:ascii="Times New Roman" w:hAnsi="Times New Roman"/>
          <w:sz w:val="20"/>
        </w:rPr>
        <w:t xml:space="preserve">On a sequential basis, cement prices improved 1%, reflecting successful price increases across certain micro markets and geographic mix. In ready-mix, prices increased 2%, reflecting effective implementation of fuel surcharges. In aggregates, adjusted for mix, prices have increased at a mid-single-digit rate, compared to year-end 2025. </w:t>
      </w:r>
    </w:p>
    <w:p>
      <w:pPr>
        <w:pStyle w:val="TextBody"/>
        <w:bidi w:val="0"/>
        <w:spacing w:before="120" w:after="0"/>
        <w:jc w:val="left"/>
        <w:rPr>
          <w:rFonts w:ascii="Times New Roman" w:hAnsi="Times New Roman"/>
          <w:sz w:val="20"/>
        </w:rPr>
      </w:pPr>
      <w:r>
        <w:rPr>
          <w:rFonts w:ascii="Times New Roman" w:hAnsi="Times New Roman"/>
          <w:sz w:val="20"/>
        </w:rPr>
        <w:t xml:space="preserve">Disruptions in our operations related to bad weather in Texas, together with rising materials and freight costs, weighed on EBITDA and margin in the quarter. </w:t>
      </w:r>
    </w:p>
    <w:p>
      <w:pPr>
        <w:pStyle w:val="TextBody"/>
        <w:bidi w:val="0"/>
        <w:spacing w:before="120" w:after="0"/>
        <w:jc w:val="left"/>
        <w:rPr>
          <w:rFonts w:ascii="Times New Roman" w:hAnsi="Times New Roman"/>
          <w:sz w:val="20"/>
        </w:rPr>
      </w:pPr>
      <w:r>
        <w:rPr>
          <w:rFonts w:ascii="Times New Roman" w:hAnsi="Times New Roman"/>
          <w:sz w:val="20"/>
        </w:rPr>
        <w:t xml:space="preserve">Demand continues to be mainly led by infrastructure supported by the ongoing rollout of IIJA projects, while industrial demand, particularly related to the AI environment, continues to grow. Residential construction remains challenged by affordability constraints and elevated housing inventories in certain markets.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3</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Europe, Middle East and Africa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6"/>
        <w:gridCol w:w="136"/>
        <w:gridCol w:w="60"/>
        <w:gridCol w:w="560"/>
        <w:gridCol w:w="275"/>
        <w:gridCol w:w="78"/>
        <w:gridCol w:w="60"/>
        <w:gridCol w:w="560"/>
        <w:gridCol w:w="275"/>
        <w:gridCol w:w="78"/>
        <w:gridCol w:w="64"/>
        <w:gridCol w:w="620"/>
        <w:gridCol w:w="275"/>
        <w:gridCol w:w="78"/>
        <w:gridCol w:w="123"/>
        <w:gridCol w:w="542"/>
        <w:gridCol w:w="275"/>
        <w:gridCol w:w="78"/>
        <w:gridCol w:w="60"/>
        <w:gridCol w:w="560"/>
        <w:gridCol w:w="275"/>
        <w:gridCol w:w="78"/>
        <w:gridCol w:w="60"/>
        <w:gridCol w:w="560"/>
        <w:gridCol w:w="275"/>
        <w:gridCol w:w="78"/>
        <w:gridCol w:w="64"/>
        <w:gridCol w:w="620"/>
        <w:gridCol w:w="275"/>
        <w:gridCol w:w="77"/>
        <w:gridCol w:w="124"/>
        <w:gridCol w:w="542"/>
        <w:gridCol w:w="284"/>
      </w:tblGrid>
      <w:tr>
        <w:trPr/>
        <w:tc>
          <w:tcPr>
            <w:tcW w:w="213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13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3648" w:type="dxa"/>
            <w:gridSpan w:val="14"/>
            <w:tcBorders/>
            <w:vAlign w:val="bottom"/>
          </w:tcPr>
          <w:p>
            <w:pPr>
              <w:pStyle w:val="TableContents"/>
              <w:bidi w:val="0"/>
              <w:spacing w:before="0" w:after="283"/>
              <w:jc w:val="center"/>
              <w:rPr>
                <w:b/>
              </w:rPr>
            </w:pPr>
            <w:r>
              <w:rPr>
                <w:b/>
              </w:rPr>
              <w:t>January - June</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648" w:type="dxa"/>
            <w:gridSpan w:val="14"/>
            <w:tcBorders/>
            <w:vAlign w:val="bottom"/>
          </w:tcPr>
          <w:p>
            <w:pPr>
              <w:pStyle w:val="TableContents"/>
              <w:bidi w:val="0"/>
              <w:spacing w:before="0" w:after="283"/>
              <w:jc w:val="center"/>
              <w:rPr>
                <w:b/>
              </w:rPr>
            </w:pPr>
            <w:r>
              <w:rPr>
                <w:b/>
              </w:rPr>
              <w:t>Second Quarter</w:t>
            </w:r>
          </w:p>
        </w:tc>
        <w:tc>
          <w:tcPr>
            <w:tcW w:w="284" w:type="dxa"/>
            <w:tcBorders/>
            <w:vAlign w:val="bottom"/>
          </w:tcPr>
          <w:p>
            <w:pPr>
              <w:pStyle w:val="TableContents"/>
              <w:bidi w:val="0"/>
              <w:spacing w:before="0" w:after="283"/>
              <w:jc w:val="left"/>
              <w:rPr/>
            </w:pPr>
            <w:r>
              <w:rPr/>
              <w:t> </w:t>
            </w:r>
          </w:p>
        </w:tc>
      </w:tr>
      <w:tr>
        <w:trPr/>
        <w:tc>
          <w:tcPr>
            <w:tcW w:w="213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284" w:type="dxa"/>
            <w:tcBorders/>
            <w:vAlign w:val="bottom"/>
          </w:tcPr>
          <w:p>
            <w:pPr>
              <w:pStyle w:val="TableContents"/>
              <w:bidi w:val="0"/>
              <w:spacing w:before="0" w:after="283"/>
              <w:jc w:val="left"/>
              <w:rPr/>
            </w:pPr>
            <w:r>
              <w:rPr/>
              <w:t> </w:t>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2,681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2,411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1,518</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1,341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9</w:t>
            </w:r>
          </w:p>
        </w:tc>
        <w:tc>
          <w:tcPr>
            <w:tcW w:w="284" w:type="dxa"/>
            <w:tcBorders/>
            <w:shd w:fill="CCEEFF" w:val="clear"/>
            <w:vAlign w:val="bottom"/>
          </w:tcPr>
          <w:p>
            <w:pPr>
              <w:pStyle w:val="TableContents"/>
              <w:bidi w:val="0"/>
              <w:spacing w:before="0" w:after="283"/>
              <w:jc w:val="left"/>
              <w:rPr/>
            </w:pPr>
            <w:r>
              <w:rPr/>
              <w:t>% </w:t>
            </w:r>
          </w:p>
        </w:tc>
      </w:tr>
      <w:tr>
        <w:trPr/>
        <w:tc>
          <w:tcPr>
            <w:tcW w:w="213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444</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346</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293</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229</w:t>
            </w:r>
          </w:p>
        </w:tc>
        <w:tc>
          <w:tcPr>
            <w:tcW w:w="27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24</w:t>
            </w:r>
          </w:p>
        </w:tc>
        <w:tc>
          <w:tcPr>
            <w:tcW w:w="284" w:type="dxa"/>
            <w:tcBorders/>
            <w:vAlign w:val="bottom"/>
          </w:tcPr>
          <w:p>
            <w:pPr>
              <w:pStyle w:val="TableContents"/>
              <w:bidi w:val="0"/>
              <w:spacing w:before="0" w:after="283"/>
              <w:jc w:val="left"/>
              <w:rPr/>
            </w:pPr>
            <w:r>
              <w:rPr/>
              <w:t>% </w:t>
            </w:r>
          </w:p>
        </w:tc>
      </w:tr>
      <w:tr>
        <w:trPr/>
        <w:tc>
          <w:tcPr>
            <w:tcW w:w="2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16.6</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2.2pp</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19.3</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2.2pp</w:t>
            </w:r>
          </w:p>
        </w:tc>
        <w:tc>
          <w:tcPr>
            <w:tcW w:w="27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136"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3612" w:type="dxa"/>
        <w:jc w:val="center"/>
        <w:tblInd w:w="0" w:type="dxa"/>
        <w:tblLayout w:type="fixed"/>
        <w:tblCellMar>
          <w:top w:w="0" w:type="dxa"/>
          <w:left w:w="0" w:type="dxa"/>
          <w:bottom w:w="0" w:type="dxa"/>
          <w:right w:w="0" w:type="dxa"/>
        </w:tblCellMar>
      </w:tblPr>
      <w:tblGrid>
        <w:gridCol w:w="1460"/>
        <w:gridCol w:w="120"/>
        <w:gridCol w:w="341"/>
        <w:gridCol w:w="1224"/>
        <w:gridCol w:w="350"/>
        <w:gridCol w:w="60"/>
        <w:gridCol w:w="357"/>
        <w:gridCol w:w="1283"/>
        <w:gridCol w:w="350"/>
        <w:gridCol w:w="60"/>
        <w:gridCol w:w="292"/>
        <w:gridCol w:w="1273"/>
        <w:gridCol w:w="376"/>
        <w:gridCol w:w="64"/>
        <w:gridCol w:w="302"/>
        <w:gridCol w:w="1338"/>
        <w:gridCol w:w="275"/>
        <w:gridCol w:w="60"/>
        <w:gridCol w:w="292"/>
        <w:gridCol w:w="1273"/>
        <w:gridCol w:w="403"/>
        <w:gridCol w:w="69"/>
        <w:gridCol w:w="354"/>
        <w:gridCol w:w="1286"/>
        <w:gridCol w:w="35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15" w:type="dxa"/>
            <w:gridSpan w:val="6"/>
            <w:tcBorders/>
            <w:vAlign w:val="bottom"/>
          </w:tcPr>
          <w:p>
            <w:pPr>
              <w:pStyle w:val="TableContents"/>
              <w:bidi w:val="0"/>
              <w:spacing w:before="0" w:after="283"/>
              <w:jc w:val="center"/>
              <w:rPr>
                <w:b/>
              </w:rPr>
            </w:pPr>
            <w:r>
              <w:rPr>
                <w:b/>
              </w:rPr>
              <w:t>Domestic gray cement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5" w:type="dxa"/>
            <w:gridSpan w:val="6"/>
            <w:tcBorders/>
            <w:vAlign w:val="bottom"/>
          </w:tcPr>
          <w:p>
            <w:pPr>
              <w:pStyle w:val="TableContents"/>
              <w:bidi w:val="0"/>
              <w:spacing w:before="0" w:after="283"/>
              <w:jc w:val="center"/>
              <w:rPr>
                <w:b/>
              </w:rPr>
            </w:pPr>
            <w:r>
              <w:rPr>
                <w:b/>
              </w:rPr>
              <w:t>Ready-mix</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77" w:type="dxa"/>
            <w:gridSpan w:val="6"/>
            <w:tcBorders/>
            <w:vAlign w:val="bottom"/>
          </w:tcPr>
          <w:p>
            <w:pPr>
              <w:pStyle w:val="TableContents"/>
              <w:bidi w:val="0"/>
              <w:spacing w:before="0" w:after="283"/>
              <w:jc w:val="center"/>
              <w:rPr>
                <w:b/>
              </w:rPr>
            </w:pPr>
            <w:r>
              <w:rPr>
                <w:b/>
              </w:rPr>
              <w:t>Aggregates</w:t>
            </w:r>
          </w:p>
        </w:tc>
        <w:tc>
          <w:tcPr>
            <w:tcW w:w="35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40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(0</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w:t>
            </w:r>
          </w:p>
        </w:tc>
        <w:tc>
          <w:tcPr>
            <w:tcW w:w="40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13</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11</w:t>
            </w:r>
          </w:p>
        </w:tc>
        <w:tc>
          <w:tcPr>
            <w:tcW w:w="40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 (*)</w:t>
            </w:r>
          </w:p>
        </w:tc>
        <w:tc>
          <w:tcPr>
            <w:tcW w:w="12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5</w:t>
            </w:r>
          </w:p>
        </w:tc>
        <w:tc>
          <w:tcPr>
            <w:tcW w:w="40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376"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403" w:type="dxa"/>
            <w:tcBorders/>
            <w:vAlign w:val="cente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12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EMEA</w:t>
      </w:r>
      <w:r>
        <w:rPr>
          <w:rFonts w:ascii="Times New Roman" w:hAnsi="Times New Roman"/>
          <w:sz w:val="20"/>
        </w:rPr>
        <w:t xml:space="preserve"> region delivered positive results, driven by a favorable one-off adjustment in Europe, cost efficiencies and pricing, resulting in an Operating EBITDA margin expansion of 2.2pp. Adjusting for the US$42 million one-off benefit, Operating EBITDA expanded 9%, with margin flat year-over-year as lower volumes weighed on results. </w:t>
      </w:r>
    </w:p>
    <w:p>
      <w:pPr>
        <w:pStyle w:val="TextBody"/>
        <w:bidi w:val="0"/>
        <w:spacing w:before="120" w:after="0"/>
        <w:jc w:val="left"/>
        <w:rPr>
          <w:rFonts w:ascii="Times New Roman" w:hAnsi="Times New Roman"/>
          <w:sz w:val="20"/>
        </w:rPr>
      </w:pPr>
      <w:r>
        <w:rPr>
          <w:rFonts w:ascii="Times New Roman" w:hAnsi="Times New Roman"/>
          <w:sz w:val="20"/>
        </w:rPr>
        <w:t xml:space="preserve">In Europe, country volume performance reflected meaningful divergence, with recent heatwaves, project delays and slower demand recovery impacting construction activity across several markets. Continued growth in cement volumes in Spain and the Czech Republic partially offset softer performance in other countries. </w:t>
      </w:r>
    </w:p>
    <w:p>
      <w:pPr>
        <w:pStyle w:val="TextBody"/>
        <w:bidi w:val="0"/>
        <w:spacing w:before="120" w:after="0"/>
        <w:jc w:val="left"/>
        <w:rPr>
          <w:rFonts w:ascii="Times New Roman" w:hAnsi="Times New Roman"/>
          <w:sz w:val="20"/>
        </w:rPr>
      </w:pPr>
      <w:r>
        <w:rPr>
          <w:rFonts w:ascii="Times New Roman" w:hAnsi="Times New Roman"/>
          <w:sz w:val="20"/>
        </w:rPr>
        <w:t xml:space="preserve">Sequentially, prices across our three core products showed a muted performance, explained by a geographic mix effect, as most of our markets saw stable to higher prices. On a cumulative basis, compared to 4Q25, cement and ready-mix prices are up 3%, and aggregates prices are up 7%. </w:t>
      </w:r>
    </w:p>
    <w:p>
      <w:pPr>
        <w:pStyle w:val="TextBody"/>
        <w:bidi w:val="0"/>
        <w:spacing w:before="120" w:after="0"/>
        <w:jc w:val="left"/>
        <w:rPr>
          <w:rFonts w:ascii="Times New Roman" w:hAnsi="Times New Roman"/>
          <w:sz w:val="20"/>
        </w:rPr>
      </w:pPr>
      <w:r>
        <w:rPr>
          <w:rFonts w:ascii="Times New Roman" w:hAnsi="Times New Roman"/>
          <w:sz w:val="20"/>
        </w:rPr>
        <w:t xml:space="preserve">In continental Europe, the introduction of the Carbon Border Adjustment Mechanism, together with the gradual reduction of free CO₂ allowances under the EU ETS have been and should continue to be supportive of higher prices. </w:t>
      </w:r>
    </w:p>
    <w:p>
      <w:pPr>
        <w:pStyle w:val="TextBody"/>
        <w:bidi w:val="0"/>
        <w:spacing w:before="120" w:after="0"/>
        <w:jc w:val="left"/>
        <w:rPr>
          <w:rFonts w:ascii="Times New Roman" w:hAnsi="Times New Roman"/>
          <w:sz w:val="20"/>
        </w:rPr>
      </w:pPr>
      <w:r>
        <w:rPr>
          <w:rFonts w:ascii="Times New Roman" w:hAnsi="Times New Roman"/>
          <w:sz w:val="20"/>
        </w:rPr>
        <w:t xml:space="preserve">The Middle East and Africa region continued delivering strong results, with EBITDA growing 34%, driven by Project Cutting Edge and improved pricing. Encouragingly, our operations remained resilient amid regional tensions.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on a volume-weighted-average basis at constant foreign exchange rates.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4</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South, Central America and the Caribbean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6"/>
        <w:gridCol w:w="138"/>
        <w:gridCol w:w="60"/>
        <w:gridCol w:w="447"/>
        <w:gridCol w:w="275"/>
        <w:gridCol w:w="81"/>
        <w:gridCol w:w="60"/>
        <w:gridCol w:w="447"/>
        <w:gridCol w:w="275"/>
        <w:gridCol w:w="81"/>
        <w:gridCol w:w="64"/>
        <w:gridCol w:w="602"/>
        <w:gridCol w:w="275"/>
        <w:gridCol w:w="81"/>
        <w:gridCol w:w="124"/>
        <w:gridCol w:w="544"/>
        <w:gridCol w:w="359"/>
        <w:gridCol w:w="81"/>
        <w:gridCol w:w="60"/>
        <w:gridCol w:w="447"/>
        <w:gridCol w:w="275"/>
        <w:gridCol w:w="81"/>
        <w:gridCol w:w="60"/>
        <w:gridCol w:w="447"/>
        <w:gridCol w:w="275"/>
        <w:gridCol w:w="81"/>
        <w:gridCol w:w="64"/>
        <w:gridCol w:w="602"/>
        <w:gridCol w:w="275"/>
        <w:gridCol w:w="81"/>
        <w:gridCol w:w="124"/>
        <w:gridCol w:w="544"/>
        <w:gridCol w:w="369"/>
      </w:tblGrid>
      <w:tr>
        <w:trPr/>
        <w:tc>
          <w:tcPr>
            <w:tcW w:w="242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42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3416" w:type="dxa"/>
            <w:gridSpan w:val="14"/>
            <w:tcBorders/>
            <w:vAlign w:val="bottom"/>
          </w:tcPr>
          <w:p>
            <w:pPr>
              <w:pStyle w:val="TableContents"/>
              <w:bidi w:val="0"/>
              <w:spacing w:before="0" w:after="283"/>
              <w:jc w:val="center"/>
              <w:rPr>
                <w:b/>
              </w:rPr>
            </w:pPr>
            <w:r>
              <w:rPr>
                <w:b/>
              </w:rPr>
              <w:t>January - June</w:t>
            </w:r>
          </w:p>
        </w:tc>
        <w:tc>
          <w:tcPr>
            <w:tcW w:w="35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3416" w:type="dxa"/>
            <w:gridSpan w:val="14"/>
            <w:tcBorders/>
            <w:vAlign w:val="bottom"/>
          </w:tcPr>
          <w:p>
            <w:pPr>
              <w:pStyle w:val="TableContents"/>
              <w:bidi w:val="0"/>
              <w:spacing w:before="0" w:after="283"/>
              <w:jc w:val="center"/>
              <w:rPr>
                <w:b/>
              </w:rPr>
            </w:pPr>
            <w:r>
              <w:rPr>
                <w:b/>
              </w:rPr>
              <w:t>Second Quarter</w:t>
            </w:r>
          </w:p>
        </w:tc>
        <w:tc>
          <w:tcPr>
            <w:tcW w:w="369" w:type="dxa"/>
            <w:tcBorders/>
            <w:vAlign w:val="bottom"/>
          </w:tcPr>
          <w:p>
            <w:pPr>
              <w:pStyle w:val="TableContents"/>
              <w:bidi w:val="0"/>
              <w:spacing w:before="0" w:after="283"/>
              <w:jc w:val="left"/>
              <w:rPr/>
            </w:pPr>
            <w:r>
              <w:rPr/>
              <w:t> </w:t>
            </w:r>
          </w:p>
        </w:tc>
      </w:tr>
      <w:tr>
        <w:trPr/>
        <w:tc>
          <w:tcPr>
            <w:tcW w:w="2426"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35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5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l-t-l</w:t>
              <w:br/>
              <w:t>% var</w:t>
            </w:r>
          </w:p>
        </w:tc>
        <w:tc>
          <w:tcPr>
            <w:tcW w:w="369" w:type="dxa"/>
            <w:tcBorders/>
            <w:vAlign w:val="bottom"/>
          </w:tcPr>
          <w:p>
            <w:pPr>
              <w:pStyle w:val="TableContents"/>
              <w:bidi w:val="0"/>
              <w:spacing w:before="0" w:after="283"/>
              <w:jc w:val="left"/>
              <w:rPr/>
            </w:pPr>
            <w:r>
              <w:rPr/>
              <w:t> </w:t>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602</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566</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(1</w:t>
            </w:r>
          </w:p>
        </w:tc>
        <w:tc>
          <w:tcPr>
            <w:tcW w:w="35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307</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285</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(1</w:t>
            </w:r>
          </w:p>
        </w:tc>
        <w:tc>
          <w:tcPr>
            <w:tcW w:w="369" w:type="dxa"/>
            <w:tcBorders/>
            <w:shd w:fill="CCEEFF" w:val="clear"/>
            <w:vAlign w:val="bottom"/>
          </w:tcPr>
          <w:p>
            <w:pPr>
              <w:pStyle w:val="TableContents"/>
              <w:bidi w:val="0"/>
              <w:spacing w:before="0" w:after="283"/>
              <w:jc w:val="left"/>
              <w:rPr/>
            </w:pPr>
            <w:r>
              <w:rPr/>
              <w:t>%) </w:t>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EBITDA</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133</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105</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27</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19</w:t>
            </w:r>
          </w:p>
        </w:tc>
        <w:tc>
          <w:tcPr>
            <w:tcW w:w="35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66</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34</w:t>
            </w:r>
          </w:p>
        </w:tc>
        <w:tc>
          <w:tcPr>
            <w:tcW w:w="27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25</w:t>
            </w:r>
          </w:p>
        </w:tc>
        <w:tc>
          <w:tcPr>
            <w:tcW w:w="369" w:type="dxa"/>
            <w:tcBorders/>
            <w:vAlign w:val="bottom"/>
          </w:tcPr>
          <w:p>
            <w:pPr>
              <w:pStyle w:val="TableContents"/>
              <w:bidi w:val="0"/>
              <w:spacing w:before="0" w:after="283"/>
              <w:jc w:val="left"/>
              <w:rPr/>
            </w:pPr>
            <w:r>
              <w:rPr/>
              <w:t>% </w:t>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EBITDA margin</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22.0</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18.5</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3.5pp</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21.7</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17.4</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4.3pp</w:t>
            </w:r>
          </w:p>
        </w:tc>
        <w:tc>
          <w:tcPr>
            <w:tcW w:w="27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369" w:type="dxa"/>
            <w:tcBorders/>
            <w:shd w:fill="CCEEFF" w:val="clear"/>
            <w:vAlign w:val="bottom"/>
          </w:tcPr>
          <w:p>
            <w:pPr>
              <w:pStyle w:val="TableContents"/>
              <w:bidi w:val="0"/>
              <w:spacing w:before="0" w:after="283"/>
              <w:jc w:val="left"/>
              <w:rPr>
                <w:sz w:val="4"/>
                <w:szCs w:val="4"/>
              </w:rPr>
            </w:pPr>
            <w:r>
              <w:rPr>
                <w:sz w:val="4"/>
                <w:szCs w:val="4"/>
              </w:rPr>
            </w:r>
          </w:p>
        </w:tc>
      </w:tr>
      <w:tr>
        <w:trPr/>
        <w:tc>
          <w:tcPr>
            <w:tcW w:w="242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13572" w:type="dxa"/>
        <w:jc w:val="center"/>
        <w:tblInd w:w="0" w:type="dxa"/>
        <w:tblLayout w:type="fixed"/>
        <w:tblCellMar>
          <w:top w:w="0" w:type="dxa"/>
          <w:left w:w="0" w:type="dxa"/>
          <w:bottom w:w="0" w:type="dxa"/>
          <w:right w:w="0" w:type="dxa"/>
        </w:tblCellMar>
      </w:tblPr>
      <w:tblGrid>
        <w:gridCol w:w="1460"/>
        <w:gridCol w:w="120"/>
        <w:gridCol w:w="468"/>
        <w:gridCol w:w="1097"/>
        <w:gridCol w:w="355"/>
        <w:gridCol w:w="77"/>
        <w:gridCol w:w="483"/>
        <w:gridCol w:w="1157"/>
        <w:gridCol w:w="275"/>
        <w:gridCol w:w="60"/>
        <w:gridCol w:w="292"/>
        <w:gridCol w:w="1273"/>
        <w:gridCol w:w="376"/>
        <w:gridCol w:w="64"/>
        <w:gridCol w:w="302"/>
        <w:gridCol w:w="1338"/>
        <w:gridCol w:w="350"/>
        <w:gridCol w:w="60"/>
        <w:gridCol w:w="237"/>
        <w:gridCol w:w="1328"/>
        <w:gridCol w:w="350"/>
        <w:gridCol w:w="60"/>
        <w:gridCol w:w="249"/>
        <w:gridCol w:w="1391"/>
        <w:gridCol w:w="35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7" w:type="dxa"/>
            <w:gridSpan w:val="6"/>
            <w:tcBorders/>
            <w:vAlign w:val="bottom"/>
          </w:tcPr>
          <w:p>
            <w:pPr>
              <w:pStyle w:val="TableContents"/>
              <w:bidi w:val="0"/>
              <w:spacing w:before="0" w:after="283"/>
              <w:jc w:val="center"/>
              <w:rPr>
                <w:b/>
              </w:rPr>
            </w:pPr>
            <w:r>
              <w:rPr>
                <w:b/>
              </w:rPr>
              <w:t>Domestic gray cement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5" w:type="dxa"/>
            <w:gridSpan w:val="6"/>
            <w:tcBorders/>
            <w:vAlign w:val="bottom"/>
          </w:tcPr>
          <w:p>
            <w:pPr>
              <w:pStyle w:val="TableContents"/>
              <w:bidi w:val="0"/>
              <w:spacing w:before="0" w:after="283"/>
              <w:jc w:val="center"/>
              <w:rPr>
                <w:b/>
              </w:rPr>
            </w:pPr>
            <w:r>
              <w:rPr>
                <w:b/>
              </w:rPr>
              <w:t>Ready-mix</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5" w:type="dxa"/>
            <w:gridSpan w:val="6"/>
            <w:tcBorders/>
            <w:vAlign w:val="bottom"/>
          </w:tcPr>
          <w:p>
            <w:pPr>
              <w:pStyle w:val="TableContents"/>
              <w:bidi w:val="0"/>
              <w:spacing w:before="0" w:after="283"/>
              <w:jc w:val="center"/>
              <w:rPr>
                <w:b/>
              </w:rPr>
            </w:pPr>
            <w:r>
              <w:rPr>
                <w:b/>
              </w:rPr>
              <w:t>Aggregates</w:t>
            </w:r>
          </w:p>
        </w:tc>
        <w:tc>
          <w:tcPr>
            <w:tcW w:w="35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i/>
              </w:rPr>
            </w:pPr>
            <w:r>
              <w:rPr>
                <w:i/>
              </w:rPr>
              <w:t>Year-over-year percentage variation</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w:t>
            </w:r>
          </w:p>
        </w:tc>
        <w:tc>
          <w:tcPr>
            <w:tcW w:w="12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w:t>
            </w:r>
          </w:p>
        </w:tc>
        <w:tc>
          <w:tcPr>
            <w:tcW w:w="3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(8</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Price (USD)</w:t>
            </w:r>
          </w:p>
        </w:tc>
        <w:tc>
          <w:tcPr>
            <w:tcW w:w="12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5</w:t>
            </w:r>
          </w:p>
        </w:tc>
        <w:tc>
          <w:tcPr>
            <w:tcW w:w="3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13</w:t>
            </w:r>
          </w:p>
        </w:tc>
        <w:tc>
          <w:tcPr>
            <w:tcW w:w="37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(local currency) (*)</w:t>
            </w:r>
          </w:p>
        </w:tc>
        <w:tc>
          <w:tcPr>
            <w:tcW w:w="12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w:t>
            </w:r>
          </w:p>
        </w:tc>
        <w:tc>
          <w:tcPr>
            <w:tcW w:w="3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w:t>
            </w:r>
          </w:p>
        </w:tc>
        <w:tc>
          <w:tcPr>
            <w:tcW w:w="37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83"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376"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133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9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w:t>
      </w:r>
      <w:r>
        <w:rPr>
          <w:rFonts w:ascii="Times New Roman" w:hAnsi="Times New Roman"/>
          <w:b/>
          <w:sz w:val="20"/>
        </w:rPr>
        <w:t>South, Central America and the Caribbean</w:t>
      </w:r>
      <w:r>
        <w:rPr>
          <w:rFonts w:ascii="Times New Roman" w:hAnsi="Times New Roman"/>
          <w:sz w:val="20"/>
        </w:rPr>
        <w:t xml:space="preserve"> we posted another strong quarter, with Operating EBITDA growing double digits, driven largely by disciplined cost management. These efforts translated into a robust margin expansion of 4.3pp. </w:t>
      </w:r>
    </w:p>
    <w:p>
      <w:pPr>
        <w:pStyle w:val="TextBody"/>
        <w:bidi w:val="0"/>
        <w:spacing w:before="120" w:after="0"/>
        <w:jc w:val="left"/>
        <w:rPr>
          <w:rFonts w:ascii="Times New Roman" w:hAnsi="Times New Roman"/>
          <w:sz w:val="20"/>
        </w:rPr>
      </w:pPr>
      <w:r>
        <w:rPr>
          <w:rFonts w:ascii="Times New Roman" w:hAnsi="Times New Roman"/>
          <w:sz w:val="20"/>
        </w:rPr>
        <w:t xml:space="preserve">Cement demand in the region was led by the informal sector, with Jamaica also benefiting from a pickup in reconstruction efforts related to last year’s hurricane Melissa as well as from tourism-related projects. Higher cement volumes in Colombia and Jamaica have offset softer performance in other markets. </w:t>
      </w:r>
    </w:p>
    <w:p>
      <w:pPr>
        <w:pStyle w:val="TextBody"/>
        <w:bidi w:val="0"/>
        <w:spacing w:before="120" w:after="0"/>
        <w:jc w:val="left"/>
        <w:rPr>
          <w:rFonts w:ascii="Times New Roman" w:hAnsi="Times New Roman"/>
          <w:sz w:val="20"/>
        </w:rPr>
      </w:pPr>
      <w:r>
        <w:rPr>
          <w:rFonts w:ascii="Times New Roman" w:hAnsi="Times New Roman"/>
          <w:sz w:val="20"/>
        </w:rPr>
        <w:t xml:space="preserve">We remain optimistic on the fundamentals of the region, supported by resilient informal construction.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on a volume-weighted-average basis at constant foreign-exchange rates.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5</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EBITDA and Free Cash Flow from Operations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4"/>
        <w:gridCol w:w="146"/>
        <w:gridCol w:w="60"/>
        <w:gridCol w:w="571"/>
        <w:gridCol w:w="155"/>
        <w:gridCol w:w="94"/>
        <w:gridCol w:w="60"/>
        <w:gridCol w:w="571"/>
        <w:gridCol w:w="155"/>
        <w:gridCol w:w="94"/>
        <w:gridCol w:w="124"/>
        <w:gridCol w:w="554"/>
        <w:gridCol w:w="319"/>
        <w:gridCol w:w="94"/>
        <w:gridCol w:w="60"/>
        <w:gridCol w:w="571"/>
        <w:gridCol w:w="155"/>
        <w:gridCol w:w="94"/>
        <w:gridCol w:w="60"/>
        <w:gridCol w:w="480"/>
        <w:gridCol w:w="155"/>
        <w:gridCol w:w="94"/>
        <w:gridCol w:w="89"/>
        <w:gridCol w:w="584"/>
        <w:gridCol w:w="332"/>
      </w:tblGrid>
      <w:tr>
        <w:trPr/>
        <w:tc>
          <w:tcPr>
            <w:tcW w:w="4534"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38" w:type="dxa"/>
            <w:gridSpan w:val="10"/>
            <w:tcBorders/>
            <w:vAlign w:val="bottom"/>
          </w:tcPr>
          <w:p>
            <w:pPr>
              <w:pStyle w:val="TableContents"/>
              <w:bidi w:val="0"/>
              <w:spacing w:before="0" w:after="283"/>
              <w:jc w:val="center"/>
              <w:rPr>
                <w:b/>
              </w:rPr>
            </w:pPr>
            <w:r>
              <w:rPr>
                <w:b/>
              </w:rPr>
              <w:t>January - June</w:t>
            </w:r>
          </w:p>
        </w:tc>
        <w:tc>
          <w:tcPr>
            <w:tcW w:w="31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42" w:type="dxa"/>
            <w:gridSpan w:val="10"/>
            <w:tcBorders/>
            <w:vAlign w:val="bottom"/>
          </w:tcPr>
          <w:p>
            <w:pPr>
              <w:pStyle w:val="TableContents"/>
              <w:bidi w:val="0"/>
              <w:spacing w:before="0" w:after="283"/>
              <w:jc w:val="center"/>
              <w:rPr>
                <w:b/>
              </w:rPr>
            </w:pPr>
            <w:r>
              <w:rPr>
                <w:b/>
              </w:rPr>
              <w:t>Second Quarter</w:t>
            </w:r>
          </w:p>
        </w:tc>
        <w:tc>
          <w:tcPr>
            <w:tcW w:w="332" w:type="dxa"/>
            <w:tcBorders/>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1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32" w:type="dxa"/>
            <w:tcBorders/>
            <w:vAlign w:val="bottom"/>
          </w:tcPr>
          <w:p>
            <w:pPr>
              <w:pStyle w:val="TableContents"/>
              <w:bidi w:val="0"/>
              <w:spacing w:before="0" w:after="283"/>
              <w:jc w:val="left"/>
              <w:rPr/>
            </w:pPr>
            <w:r>
              <w:rPr/>
              <w:t> </w:t>
            </w:r>
          </w:p>
        </w:tc>
      </w:tr>
      <w:tr>
        <w:trPr/>
        <w:tc>
          <w:tcPr>
            <w:tcW w:w="45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earnings before other expenses, net</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1,133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785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b/>
              </w:rPr>
            </w:pPr>
            <w:r>
              <w:rPr>
                <w:b/>
              </w:rPr>
              <w:t>44</w:t>
            </w:r>
          </w:p>
        </w:tc>
        <w:tc>
          <w:tcPr>
            <w:tcW w:w="319"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681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b/>
              </w:rPr>
            </w:pPr>
            <w:r>
              <w:rPr>
                <w:b/>
              </w:rPr>
              <w:t>495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38</w:t>
            </w:r>
          </w:p>
        </w:tc>
        <w:tc>
          <w:tcPr>
            <w:tcW w:w="332" w:type="dxa"/>
            <w:tcBorders/>
            <w:shd w:fill="CCEEFF" w:val="clear"/>
            <w:vAlign w:val="bottom"/>
          </w:tcPr>
          <w:p>
            <w:pPr>
              <w:pStyle w:val="TableContents"/>
              <w:bidi w:val="0"/>
              <w:spacing w:before="0" w:after="283"/>
              <w:jc w:val="left"/>
              <w:rPr>
                <w:b/>
              </w:rPr>
            </w:pPr>
            <w:r>
              <w:rPr>
                <w:b/>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assets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679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632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45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EBITDA</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1,812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1,417</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b/>
              </w:rPr>
            </w:pPr>
            <w:r>
              <w:rPr>
                <w:b/>
              </w:rPr>
              <w:t>28</w:t>
            </w:r>
          </w:p>
        </w:tc>
        <w:tc>
          <w:tcPr>
            <w:tcW w:w="319"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1,018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b/>
              </w:rPr>
            </w:pPr>
            <w:r>
              <w:rPr>
                <w:b/>
              </w:rPr>
              <w:t>822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24</w:t>
            </w:r>
          </w:p>
        </w:tc>
        <w:tc>
          <w:tcPr>
            <w:tcW w:w="332" w:type="dxa"/>
            <w:tcBorders/>
            <w:shd w:fill="CCEEFF" w:val="clear"/>
            <w:vAlign w:val="bottom"/>
          </w:tcPr>
          <w:p>
            <w:pPr>
              <w:pStyle w:val="TableContents"/>
              <w:bidi w:val="0"/>
              <w:spacing w:before="0" w:after="283"/>
              <w:jc w:val="left"/>
              <w:rPr>
                <w:b/>
              </w:rPr>
            </w:pPr>
            <w:r>
              <w:rPr>
                <w:b/>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Paid</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capital expenditures &amp; lease payments(1)</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(312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(381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54"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(208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(502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(677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(193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Taxes Paid</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54"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Other cash expenditures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(153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(79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sales of fixed assets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554"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sz w:val="4"/>
                <w:szCs w:val="4"/>
              </w:rPr>
            </w:pPr>
            <w:r>
              <w:rPr>
                <w:sz w:val="4"/>
                <w:szCs w:val="4"/>
              </w:rPr>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Free cash flows from discontinued operations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r>
        <w:trPr/>
        <w:tc>
          <w:tcPr>
            <w:tcW w:w="45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 from Operations</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666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(67</w:t>
            </w:r>
          </w:p>
        </w:tc>
        <w:tc>
          <w:tcPr>
            <w:tcW w:w="155" w:type="dxa"/>
            <w:tcBorders/>
            <w:shd w:fill="CCEEFF" w:val="clear"/>
            <w:vAlign w:val="bottom"/>
          </w:tcPr>
          <w:p>
            <w:pPr>
              <w:pStyle w:val="TableContents"/>
              <w:bidi w:val="0"/>
              <w:spacing w:before="0" w:after="283"/>
              <w:jc w:val="left"/>
              <w:rPr>
                <w:b/>
              </w:rPr>
            </w:pPr>
            <w:r>
              <w:rPr>
                <w:b/>
              </w:rPr>
              <w:t>) </w:t>
            </w:r>
          </w:p>
        </w:tc>
        <w:tc>
          <w:tcPr>
            <w:tcW w:w="9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b/>
              </w:rPr>
            </w:pPr>
            <w:r>
              <w:rPr>
                <w:b/>
              </w:rPr>
              <w:t>N/A</w:t>
            </w:r>
          </w:p>
        </w:tc>
        <w:tc>
          <w:tcPr>
            <w:tcW w:w="3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637</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right"/>
              <w:rPr>
                <w:b/>
              </w:rPr>
            </w:pPr>
            <w:r>
              <w:rPr>
                <w:b/>
              </w:rPr>
              <w:t>204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b/>
              </w:rPr>
            </w:pPr>
            <w:r>
              <w:rPr>
                <w:b/>
              </w:rPr>
              <w:t>212</w:t>
            </w:r>
          </w:p>
        </w:tc>
        <w:tc>
          <w:tcPr>
            <w:tcW w:w="332" w:type="dxa"/>
            <w:tcBorders/>
            <w:shd w:fill="CCEEFF" w:val="clear"/>
            <w:vAlign w:val="bottom"/>
          </w:tcPr>
          <w:p>
            <w:pPr>
              <w:pStyle w:val="TableContents"/>
              <w:bidi w:val="0"/>
              <w:spacing w:before="0" w:after="283"/>
              <w:jc w:val="left"/>
              <w:rPr>
                <w:b/>
              </w:rPr>
            </w:pPr>
            <w:r>
              <w:rPr>
                <w:b/>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33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Including lease payments of US$69 million in 2Q26 and US$73 million in 2Q25.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024"/>
        <w:gridCol w:w="203"/>
        <w:gridCol w:w="60"/>
        <w:gridCol w:w="636"/>
        <w:gridCol w:w="60"/>
        <w:gridCol w:w="203"/>
        <w:gridCol w:w="60"/>
        <w:gridCol w:w="581"/>
        <w:gridCol w:w="155"/>
        <w:gridCol w:w="145"/>
        <w:gridCol w:w="80"/>
        <w:gridCol w:w="850"/>
        <w:gridCol w:w="80"/>
        <w:gridCol w:w="231"/>
        <w:gridCol w:w="80"/>
        <w:gridCol w:w="779"/>
        <w:gridCol w:w="161"/>
      </w:tblGrid>
      <w:tr>
        <w:trPr/>
        <w:tc>
          <w:tcPr>
            <w:tcW w:w="502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tcBorders/>
            <w:vAlign w:val="bottom"/>
          </w:tcPr>
          <w:p>
            <w:pPr>
              <w:pStyle w:val="TableContents"/>
              <w:bidi w:val="0"/>
              <w:spacing w:before="0" w:after="283"/>
              <w:jc w:val="left"/>
              <w:rPr>
                <w:b/>
              </w:rPr>
            </w:pPr>
            <w:r>
              <w:rPr>
                <w:b/>
              </w:rPr>
              <w:t>Net Debt Variation</w:t>
            </w:r>
          </w:p>
        </w:tc>
        <w:tc>
          <w:tcPr>
            <w:tcW w:w="203" w:type="dxa"/>
            <w:tcBorders/>
            <w:vAlign w:val="bottom"/>
          </w:tcPr>
          <w:p>
            <w:pPr>
              <w:pStyle w:val="TableContents"/>
              <w:bidi w:val="0"/>
              <w:spacing w:before="0" w:after="283"/>
              <w:jc w:val="left"/>
              <w:rPr/>
            </w:pPr>
            <w:r>
              <w:rPr/>
              <w:t>  </w:t>
            </w:r>
          </w:p>
        </w:tc>
        <w:tc>
          <w:tcPr>
            <w:tcW w:w="1600" w:type="dxa"/>
            <w:gridSpan w:val="6"/>
            <w:tcBorders/>
            <w:vAlign w:val="bottom"/>
          </w:tcPr>
          <w:p>
            <w:pPr>
              <w:pStyle w:val="TableContents"/>
              <w:bidi w:val="0"/>
              <w:spacing w:before="0" w:after="283"/>
              <w:jc w:val="center"/>
              <w:rPr>
                <w:b/>
              </w:rPr>
            </w:pPr>
            <w:r>
              <w:rPr>
                <w:b/>
              </w:rPr>
              <w:t>YTD variation</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00" w:type="dxa"/>
            <w:gridSpan w:val="6"/>
            <w:tcBorders/>
            <w:vAlign w:val="bottom"/>
          </w:tcPr>
          <w:p>
            <w:pPr>
              <w:pStyle w:val="TableContents"/>
              <w:bidi w:val="0"/>
              <w:spacing w:before="0" w:after="283"/>
              <w:jc w:val="center"/>
              <w:rPr>
                <w:b/>
              </w:rPr>
            </w:pPr>
            <w:r>
              <w:rPr>
                <w:b/>
              </w:rPr>
              <w:t>Quarterly variation</w:t>
            </w:r>
          </w:p>
        </w:tc>
        <w:tc>
          <w:tcPr>
            <w:tcW w:w="161"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debt</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b/>
              </w:rPr>
            </w:pPr>
            <w:r>
              <w:rPr>
                <w:b/>
              </w:rPr>
              <w:t>4Q25:</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b/>
              </w:rPr>
            </w:pPr>
            <w:r>
              <w:rPr>
                <w:b/>
              </w:rPr>
              <w:t>4,958</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b/>
              </w:rPr>
            </w:pPr>
            <w:r>
              <w:rPr>
                <w:b/>
              </w:rPr>
              <w:t>1Q26:</w:t>
            </w:r>
          </w:p>
        </w:tc>
        <w:tc>
          <w:tcPr>
            <w:tcW w:w="8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b/>
              </w:rPr>
            </w:pPr>
            <w:r>
              <w:rPr>
                <w:b/>
              </w:rPr>
              <w:t>5,549</w:t>
            </w:r>
          </w:p>
        </w:tc>
        <w:tc>
          <w:tcPr>
            <w:tcW w:w="161" w:type="dxa"/>
            <w:tcBorders/>
            <w:shd w:fill="CCEEFF" w:val="clear"/>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Free Cash Flow from Operations (effect on Net Debt)</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b/>
              </w:rPr>
            </w:pPr>
            <w:r>
              <w:rPr>
                <w:b/>
              </w:rPr>
              <w:t>(666</w:t>
            </w:r>
          </w:p>
        </w:tc>
        <w:tc>
          <w:tcPr>
            <w:tcW w:w="155"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b/>
              </w:rPr>
            </w:pPr>
            <w:r>
              <w:rPr>
                <w:b/>
              </w:rPr>
              <w:t>(637</w:t>
            </w:r>
          </w:p>
        </w:tc>
        <w:tc>
          <w:tcPr>
            <w:tcW w:w="161" w:type="dxa"/>
            <w:tcBorders/>
            <w:vAlign w:val="bottom"/>
          </w:tcPr>
          <w:p>
            <w:pPr>
              <w:pStyle w:val="TableContents"/>
              <w:bidi w:val="0"/>
              <w:spacing w:before="0" w:after="283"/>
              <w:jc w:val="left"/>
              <w:rPr>
                <w:b/>
              </w:rPr>
            </w:pPr>
            <w:r>
              <w:rPr>
                <w:b/>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Growth capital expenditures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107</w:t>
            </w:r>
          </w:p>
        </w:tc>
        <w:tc>
          <w:tcPr>
            <w:tcW w:w="161"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Acquisitions and divestments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259</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59</w:t>
            </w:r>
          </w:p>
        </w:tc>
        <w:tc>
          <w:tcPr>
            <w:tcW w:w="161"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in intangible assets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33</w:t>
            </w:r>
          </w:p>
        </w:tc>
        <w:tc>
          <w:tcPr>
            <w:tcW w:w="161"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Coupons on subordinated notes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77</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45</w:t>
            </w:r>
          </w:p>
        </w:tc>
        <w:tc>
          <w:tcPr>
            <w:tcW w:w="161"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5.125% subordinated notes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1,000</w:t>
            </w:r>
          </w:p>
        </w:tc>
        <w:tc>
          <w:tcPr>
            <w:tcW w:w="161" w:type="dxa"/>
            <w:tcBorders/>
            <w:shd w:fill="CCEEFF" w:val="clear"/>
            <w:vAlign w:val="bottom"/>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sz w:val="20"/>
              </w:rPr>
            </w:pPr>
            <w:r>
              <w:rPr>
                <w:rFonts w:ascii="Times New Roman" w:hAnsi="Times New Roman"/>
                <w:sz w:val="20"/>
              </w:rPr>
              <w:t>Others net (1)</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53</w:t>
            </w:r>
          </w:p>
        </w:tc>
        <w:tc>
          <w:tcPr>
            <w:tcW w:w="161"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debt variation</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b/>
              </w:rPr>
            </w:pPr>
            <w:r>
              <w:rPr>
                <w:b/>
              </w:rPr>
              <w:t>1,268</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b/>
              </w:rPr>
            </w:pPr>
            <w:r>
              <w:rPr>
                <w:b/>
              </w:rPr>
              <w:t>675</w:t>
            </w:r>
          </w:p>
        </w:tc>
        <w:tc>
          <w:tcPr>
            <w:tcW w:w="161" w:type="dxa"/>
            <w:tcBorders/>
            <w:shd w:fill="CCEEFF" w:val="clear"/>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24"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debt</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2Q26:</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b/>
              </w:rPr>
            </w:pPr>
            <w:r>
              <w:rPr>
                <w:b/>
              </w:rPr>
              <w:t>6,225</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b/>
              </w:rPr>
            </w:pPr>
            <w:r>
              <w:rPr>
                <w:b/>
              </w:rPr>
              <w:t>2Q26:</w:t>
            </w:r>
          </w:p>
        </w:tc>
        <w:tc>
          <w:tcPr>
            <w:tcW w:w="8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b/>
              </w:rPr>
            </w:pPr>
            <w:r>
              <w:rPr>
                <w:b/>
              </w:rPr>
              <w:t>6,225</w:t>
            </w:r>
          </w:p>
        </w:tc>
        <w:tc>
          <w:tcPr>
            <w:tcW w:w="161" w:type="dxa"/>
            <w:tcBorders/>
            <w:vAlign w:val="bottom"/>
          </w:tcPr>
          <w:p>
            <w:pPr>
              <w:pStyle w:val="TableContents"/>
              <w:bidi w:val="0"/>
              <w:spacing w:before="0" w:after="283"/>
              <w:jc w:val="left"/>
              <w:rPr/>
            </w:pPr>
            <w:r>
              <w:rPr/>
              <w:t> </w:t>
            </w:r>
          </w:p>
        </w:tc>
      </w:tr>
      <w:tr>
        <w:trPr/>
        <w:tc>
          <w:tcPr>
            <w:tcW w:w="5024"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millions of U.S. dollars.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net is largely explained by the change in outstanding balance under securitization programs, activities related to our stock compensation plan, and contributions to pension plans.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on debt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9"/>
        <w:gridCol w:w="153"/>
        <w:gridCol w:w="60"/>
        <w:gridCol w:w="565"/>
        <w:gridCol w:w="275"/>
        <w:gridCol w:w="94"/>
        <w:gridCol w:w="60"/>
        <w:gridCol w:w="565"/>
        <w:gridCol w:w="275"/>
        <w:gridCol w:w="94"/>
        <w:gridCol w:w="101"/>
        <w:gridCol w:w="569"/>
        <w:gridCol w:w="350"/>
        <w:gridCol w:w="94"/>
        <w:gridCol w:w="81"/>
        <w:gridCol w:w="764"/>
        <w:gridCol w:w="275"/>
        <w:gridCol w:w="93"/>
        <w:gridCol w:w="1995"/>
        <w:gridCol w:w="153"/>
        <w:gridCol w:w="100"/>
        <w:gridCol w:w="445"/>
        <w:gridCol w:w="469"/>
        <w:gridCol w:w="133"/>
        <w:gridCol w:w="100"/>
        <w:gridCol w:w="448"/>
        <w:gridCol w:w="285"/>
      </w:tblGrid>
      <w:tr>
        <w:trPr/>
        <w:tc>
          <w:tcPr>
            <w:tcW w:w="160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60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658" w:type="dxa"/>
            <w:gridSpan w:val="10"/>
            <w:tcBorders/>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center"/>
              <w:rPr>
                <w:b/>
              </w:rPr>
            </w:pPr>
            <w:r>
              <w:rPr>
                <w:b/>
              </w:rPr>
              <w:t>First</w:t>
              <w:br/>
              <w:t>Quarter</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95" w:type="dxa"/>
            <w:gridSpan w:val="6"/>
            <w:tcBorders/>
            <w:vAlign w:val="bottom"/>
          </w:tcPr>
          <w:p>
            <w:pPr>
              <w:pStyle w:val="TableContents"/>
              <w:bidi w:val="0"/>
              <w:spacing w:before="0" w:after="283"/>
              <w:jc w:val="center"/>
              <w:rPr>
                <w:b/>
              </w:rPr>
            </w:pPr>
            <w:r>
              <w:rPr>
                <w:b/>
              </w:rPr>
              <w:t>Second Quarter</w:t>
            </w:r>
          </w:p>
        </w:tc>
        <w:tc>
          <w:tcPr>
            <w:tcW w:w="285"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6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5" w:type="dxa"/>
            <w:tcBorders/>
            <w:vAlign w:val="bottom"/>
          </w:tcPr>
          <w:p>
            <w:pPr>
              <w:pStyle w:val="TableContents"/>
              <w:bidi w:val="0"/>
              <w:spacing w:before="0" w:after="283"/>
              <w:jc w:val="left"/>
              <w:rPr/>
            </w:pPr>
            <w:r>
              <w:rPr/>
              <w:t> </w:t>
            </w:r>
          </w:p>
        </w:tc>
      </w:tr>
      <w:tr>
        <w:trPr/>
        <w:tc>
          <w:tcPr>
            <w:tcW w:w="16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debt (1)</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6,879</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6,921</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6,236</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95" w:type="dxa"/>
            <w:tcBorders/>
            <w:shd w:fill="CCEEFF" w:val="clear"/>
            <w:vAlign w:val="bottom"/>
          </w:tcPr>
          <w:p>
            <w:pPr>
              <w:pStyle w:val="TableContents"/>
              <w:bidi w:val="0"/>
              <w:spacing w:before="0" w:after="283"/>
              <w:jc w:val="left"/>
              <w:rPr>
                <w:b/>
              </w:rPr>
            </w:pPr>
            <w:r>
              <w:rPr>
                <w:b/>
              </w:rPr>
              <w:t>Currency denomination (3)</w:t>
            </w:r>
          </w:p>
        </w:tc>
        <w:tc>
          <w:tcPr>
            <w:tcW w:w="1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1609" w:type="dxa"/>
            <w:tcBorders/>
          </w:tcPr>
          <w:p>
            <w:pPr>
              <w:pStyle w:val="TableContents"/>
              <w:bidi w:val="0"/>
              <w:spacing w:before="0" w:after="0"/>
              <w:jc w:val="left"/>
              <w:rPr>
                <w:rFonts w:ascii="Times New Roman" w:hAnsi="Times New Roman"/>
                <w:sz w:val="20"/>
              </w:rPr>
            </w:pPr>
            <w:r>
              <w:rPr>
                <w:rFonts w:ascii="Times New Roman" w:hAnsi="Times New Roman"/>
                <w:sz w:val="20"/>
              </w:rPr>
              <w:t>Short-term</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pPr>
            <w:r>
              <w:rPr/>
              <w:t>U.S. dollar</w:t>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46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69</w:t>
            </w:r>
          </w:p>
        </w:tc>
        <w:tc>
          <w:tcPr>
            <w:tcW w:w="285" w:type="dxa"/>
            <w:tcBorders/>
            <w:vAlign w:val="bottom"/>
          </w:tcPr>
          <w:p>
            <w:pPr>
              <w:pStyle w:val="TableContents"/>
              <w:bidi w:val="0"/>
              <w:spacing w:before="0" w:after="283"/>
              <w:jc w:val="left"/>
              <w:rPr/>
            </w:pPr>
            <w:r>
              <w:rPr/>
              <w:t>% </w:t>
            </w:r>
          </w:p>
        </w:tc>
      </w:tr>
      <w:tr>
        <w:trPr/>
        <w:tc>
          <w:tcPr>
            <w:tcW w:w="1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90</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95" w:type="dxa"/>
            <w:tcBorders/>
            <w:shd w:fill="CCEEFF" w:val="clear"/>
            <w:vAlign w:val="bottom"/>
          </w:tcPr>
          <w:p>
            <w:pPr>
              <w:pStyle w:val="TableContents"/>
              <w:bidi w:val="0"/>
              <w:spacing w:before="0" w:after="283"/>
              <w:jc w:val="left"/>
              <w:rPr/>
            </w:pPr>
            <w:r>
              <w:rPr/>
              <w:t>Euro</w:t>
            </w:r>
          </w:p>
        </w:tc>
        <w:tc>
          <w:tcPr>
            <w:tcW w:w="1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14</w:t>
            </w:r>
          </w:p>
        </w:tc>
        <w:tc>
          <w:tcPr>
            <w:tcW w:w="46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21</w:t>
            </w:r>
          </w:p>
        </w:tc>
        <w:tc>
          <w:tcPr>
            <w:tcW w:w="285" w:type="dxa"/>
            <w:tcBorders/>
            <w:shd w:fill="CCEEFF" w:val="clear"/>
            <w:vAlign w:val="bottom"/>
          </w:tcPr>
          <w:p>
            <w:pPr>
              <w:pStyle w:val="TableContents"/>
              <w:bidi w:val="0"/>
              <w:spacing w:before="0" w:after="283"/>
              <w:jc w:val="left"/>
              <w:rPr/>
            </w:pPr>
            <w:r>
              <w:rPr/>
              <w:t>% </w:t>
            </w:r>
          </w:p>
        </w:tc>
      </w:tr>
      <w:tr>
        <w:trPr/>
        <w:tc>
          <w:tcPr>
            <w:tcW w:w="160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654</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1,166</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(44</w:t>
            </w:r>
          </w:p>
        </w:tc>
        <w:tc>
          <w:tcPr>
            <w:tcW w:w="35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687</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pPr>
            <w:r>
              <w:rPr/>
              <w:t>Mexican peso</w:t>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w:t>
            </w:r>
          </w:p>
        </w:tc>
        <w:tc>
          <w:tcPr>
            <w:tcW w:w="46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7</w:t>
            </w:r>
          </w:p>
        </w:tc>
        <w:tc>
          <w:tcPr>
            <w:tcW w:w="285"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1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debt</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6,225</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5,756</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5,549</w:t>
            </w:r>
          </w:p>
        </w:tc>
        <w:tc>
          <w:tcPr>
            <w:tcW w:w="2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95" w:type="dxa"/>
            <w:tcBorders/>
            <w:shd w:fill="CCEEFF" w:val="clear"/>
            <w:vAlign w:val="bottom"/>
          </w:tcPr>
          <w:p>
            <w:pPr>
              <w:pStyle w:val="TableContents"/>
              <w:bidi w:val="0"/>
              <w:spacing w:before="0" w:after="283"/>
              <w:jc w:val="left"/>
              <w:rPr/>
            </w:pPr>
            <w:r>
              <w:rPr/>
              <w:t>Other</w:t>
            </w:r>
          </w:p>
        </w:tc>
        <w:tc>
          <w:tcPr>
            <w:tcW w:w="1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3</w:t>
            </w:r>
          </w:p>
        </w:tc>
        <w:tc>
          <w:tcPr>
            <w:tcW w:w="46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3</w:t>
            </w:r>
          </w:p>
        </w:tc>
        <w:tc>
          <w:tcPr>
            <w:tcW w:w="285" w:type="dxa"/>
            <w:tcBorders/>
            <w:shd w:fill="CCEEFF" w:val="clear"/>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469"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b/>
              </w:rPr>
            </w:pPr>
            <w:r>
              <w:rPr>
                <w:b/>
              </w:rPr>
              <w:t>Interest rate (3)</w:t>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1609"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995"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c>
          <w:tcPr>
            <w:tcW w:w="1609" w:type="dxa"/>
            <w:tcBorders/>
          </w:tcPr>
          <w:p>
            <w:pPr>
              <w:pStyle w:val="TableContents"/>
              <w:bidi w:val="0"/>
              <w:spacing w:before="0" w:after="0"/>
              <w:jc w:val="left"/>
              <w:rPr>
                <w:rFonts w:ascii="Times New Roman" w:hAnsi="Times New Roman"/>
                <w:sz w:val="20"/>
              </w:rPr>
            </w:pPr>
            <w:r>
              <w:rPr>
                <w:rFonts w:ascii="Times New Roman" w:hAnsi="Times New Roman"/>
                <w:sz w:val="20"/>
              </w:rPr>
              <w:t>Leverage ratio (2)</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2.72</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2.30</w:t>
            </w:r>
          </w:p>
        </w:tc>
        <w:tc>
          <w:tcPr>
            <w:tcW w:w="2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pPr>
            <w:r>
              <w:rPr/>
              <w:t>Fixed</w:t>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83</w:t>
            </w:r>
          </w:p>
        </w:tc>
        <w:tc>
          <w:tcPr>
            <w:tcW w:w="46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66</w:t>
            </w:r>
          </w:p>
        </w:tc>
        <w:tc>
          <w:tcPr>
            <w:tcW w:w="285"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1609" w:type="dxa"/>
            <w:tcBorders/>
            <w:shd w:fill="CCEEFF" w:val="clear"/>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6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995" w:type="dxa"/>
            <w:tcBorders/>
            <w:shd w:fill="CCEEFF" w:val="clear"/>
            <w:vAlign w:val="bottom"/>
          </w:tcPr>
          <w:p>
            <w:pPr>
              <w:pStyle w:val="TableContents"/>
              <w:bidi w:val="0"/>
              <w:spacing w:before="0" w:after="283"/>
              <w:jc w:val="left"/>
              <w:rPr/>
            </w:pPr>
            <w:r>
              <w:rPr/>
              <w:t>Variable</w:t>
            </w:r>
          </w:p>
        </w:tc>
        <w:tc>
          <w:tcPr>
            <w:tcW w:w="15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17</w:t>
            </w:r>
          </w:p>
        </w:tc>
        <w:tc>
          <w:tcPr>
            <w:tcW w:w="469"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34</w:t>
            </w:r>
          </w:p>
        </w:tc>
        <w:tc>
          <w:tcPr>
            <w:tcW w:w="285" w:type="dxa"/>
            <w:tcBorders/>
            <w:shd w:fill="CCEEFF" w:val="clear"/>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6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995"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469"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millions of U.S. dollars, except percentages and ratios.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leases, in accordance with International Financial Reporting Standards (IFRS).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Net debt plus subordinated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effect of our interest rate and cross-currency derivatives, as applicable.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Consolidated Statement of Operations &amp; Statement of Financial Position </w:t>
      </w:r>
    </w:p>
    <w:p>
      <w:pPr>
        <w:pStyle w:val="TextBody"/>
        <w:bidi w:val="0"/>
        <w:spacing w:before="0" w:after="0"/>
        <w:jc w:val="left"/>
        <w:rPr>
          <w:rFonts w:ascii="Times New Roman" w:hAnsi="Times New Roman"/>
          <w:b/>
          <w:sz w:val="20"/>
        </w:rPr>
      </w:pPr>
      <w:r>
        <w:rPr>
          <w:rFonts w:ascii="Times New Roman" w:hAnsi="Times New Roman"/>
          <w:b/>
          <w:sz w:val="20"/>
        </w:rPr>
        <w:t xml:space="preserve">Cemex, S.A.B. de C.V. and Subsidiaries </w:t>
      </w:r>
    </w:p>
    <w:p>
      <w:pPr>
        <w:pStyle w:val="TextBody"/>
        <w:bidi w:val="0"/>
        <w:spacing w:before="0" w:after="0"/>
        <w:jc w:val="left"/>
        <w:rPr>
          <w:rFonts w:ascii="Times New Roman" w:hAnsi="Times New Roman"/>
          <w:sz w:val="20"/>
        </w:rPr>
      </w:pPr>
      <w:r>
        <w:rPr>
          <w:rFonts w:ascii="Times New Roman" w:hAnsi="Times New Roman"/>
          <w:sz w:val="20"/>
        </w:rPr>
        <w:t xml:space="preserve">(Thousands of U.S. dollars, except per ADS amounts) </w:t>
      </w:r>
    </w:p>
    <w:p>
      <w:pPr>
        <w:pStyle w:val="TextBody"/>
        <w:bidi w:val="0"/>
        <w:spacing w:before="0" w:after="0"/>
        <w:jc w:val="left"/>
        <w:rPr/>
      </w:pPr>
      <w:r>
        <w:rPr/>
        <w:t> </w:t>
      </w:r>
    </w:p>
    <w:tbl>
      <w:tblPr>
        <w:tblW w:w="13480" w:type="dxa"/>
        <w:jc w:val="center"/>
        <w:tblInd w:w="0" w:type="dxa"/>
        <w:tblLayout w:type="fixed"/>
        <w:tblCellMar>
          <w:top w:w="0" w:type="dxa"/>
          <w:left w:w="0" w:type="dxa"/>
          <w:bottom w:w="0" w:type="dxa"/>
          <w:right w:w="0" w:type="dxa"/>
        </w:tblCellMar>
      </w:tblPr>
      <w:tblGrid>
        <w:gridCol w:w="2975"/>
        <w:gridCol w:w="120"/>
        <w:gridCol w:w="60"/>
        <w:gridCol w:w="1055"/>
        <w:gridCol w:w="155"/>
        <w:gridCol w:w="60"/>
        <w:gridCol w:w="60"/>
        <w:gridCol w:w="1055"/>
        <w:gridCol w:w="155"/>
        <w:gridCol w:w="60"/>
        <w:gridCol w:w="77"/>
        <w:gridCol w:w="588"/>
        <w:gridCol w:w="395"/>
        <w:gridCol w:w="60"/>
        <w:gridCol w:w="203"/>
        <w:gridCol w:w="882"/>
        <w:gridCol w:w="320"/>
        <w:gridCol w:w="60"/>
        <w:gridCol w:w="60"/>
        <w:gridCol w:w="1055"/>
        <w:gridCol w:w="155"/>
        <w:gridCol w:w="60"/>
        <w:gridCol w:w="60"/>
        <w:gridCol w:w="1055"/>
        <w:gridCol w:w="155"/>
        <w:gridCol w:w="60"/>
        <w:gridCol w:w="79"/>
        <w:gridCol w:w="586"/>
        <w:gridCol w:w="350"/>
        <w:gridCol w:w="60"/>
        <w:gridCol w:w="203"/>
        <w:gridCol w:w="882"/>
        <w:gridCol w:w="32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65" w:type="dxa"/>
            <w:gridSpan w:val="14"/>
            <w:tcBorders/>
            <w:vAlign w:val="bottom"/>
          </w:tcPr>
          <w:p>
            <w:pPr>
              <w:pStyle w:val="TableContents"/>
              <w:bidi w:val="0"/>
              <w:spacing w:before="0" w:after="283"/>
              <w:jc w:val="center"/>
              <w:rPr>
                <w:b/>
              </w:rPr>
            </w:pPr>
            <w:r>
              <w:rPr>
                <w:b/>
              </w:rPr>
              <w:t>January - June</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0" w:type="dxa"/>
            <w:gridSpan w:val="14"/>
            <w:tcBorders/>
            <w:vAlign w:val="bottom"/>
          </w:tcPr>
          <w:p>
            <w:pPr>
              <w:pStyle w:val="TableContents"/>
              <w:bidi w:val="0"/>
              <w:spacing w:before="0" w:after="283"/>
              <w:jc w:val="center"/>
              <w:rPr>
                <w:b/>
              </w:rPr>
            </w:pPr>
            <w:r>
              <w:rPr>
                <w:b/>
              </w:rPr>
              <w:t>Second Quarter</w:t>
            </w:r>
          </w:p>
        </w:tc>
        <w:tc>
          <w:tcPr>
            <w:tcW w:w="32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STATEMENT OF OPERATIONS</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like-to-like</w:t>
              <w:br/>
              <w:t>% var</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like-to-like</w:t>
              <w:br/>
              <w:t>% var</w:t>
            </w:r>
          </w:p>
        </w:tc>
        <w:tc>
          <w:tcPr>
            <w:tcW w:w="32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8,612,510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7,706,754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12</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4,593,416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4,092,536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w:t>
            </w:r>
          </w:p>
        </w:tc>
        <w:tc>
          <w:tcPr>
            <w:tcW w:w="32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(5,674,308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(5,184,568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(9</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(2,975,426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(2,694,343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2,938,202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2,522,186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16</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1,617,990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1,398,193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16</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30</w:t>
            </w:r>
          </w:p>
        </w:tc>
        <w:tc>
          <w:tcPr>
            <w:tcW w:w="320" w:type="dxa"/>
            <w:tcBorders/>
            <w:shd w:fill="CCEEFF" w:val="clear"/>
            <w:vAlign w:val="bottom"/>
          </w:tcPr>
          <w:p>
            <w:pPr>
              <w:pStyle w:val="TableContents"/>
              <w:bidi w:val="0"/>
              <w:spacing w:before="0" w:after="283"/>
              <w:jc w:val="left"/>
              <w:rPr>
                <w:b/>
              </w:rPr>
            </w:pPr>
            <w:r>
              <w:rPr>
                <w:b/>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(1,804,870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(1,737,433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(937,346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(903,673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earnings before other income and expenses,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1,133,332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784,753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44</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680,643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494,520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38</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30</w:t>
            </w:r>
          </w:p>
        </w:tc>
        <w:tc>
          <w:tcPr>
            <w:tcW w:w="320" w:type="dxa"/>
            <w:tcBorders/>
            <w:shd w:fill="CCEEFF" w:val="clear"/>
            <w:vAlign w:val="bottom"/>
          </w:tcPr>
          <w:p>
            <w:pPr>
              <w:pStyle w:val="TableContents"/>
              <w:bidi w:val="0"/>
              <w:spacing w:before="0" w:after="283"/>
              <w:jc w:val="left"/>
              <w:rPr>
                <w:b/>
              </w:rPr>
            </w:pPr>
            <w:r>
              <w:rPr>
                <w:b/>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(92,662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(113,544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18</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(49,614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(69,189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earnings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1,040,669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671,208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55</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631,028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425,331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48</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Financial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(204,448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(235,573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(101,697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(120,533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financial income (expense),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(40,846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150,025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N/A</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(52,697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110,428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27,923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19,146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46</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13,092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8,420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Results from financial instruments,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3,094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(32,934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N/A</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(10,369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(16,862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39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results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(21,179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207,934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N/A</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(29,429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141,339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net present value on assets and liabilities and others,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(50,684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(44,122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(15</w:t>
            </w:r>
          </w:p>
        </w:tc>
        <w:tc>
          <w:tcPr>
            <w:tcW w:w="3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(25,990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(22,470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Equity in gain (loss) of associates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25,367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25,259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0</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18,779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19,842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820,743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610,920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34</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495,414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435,068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14</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(233,658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(151,667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(54</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(139,729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(99,906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(40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of continuing operations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587,085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459,252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28</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355,685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335,163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6</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Discontinued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2,489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599,571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(100</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(18,037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99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net income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589,574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1,058,823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(44</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355,470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317,126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12</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 net income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15,279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6,846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123</w:t>
            </w:r>
          </w:p>
        </w:tc>
        <w:tc>
          <w:tcPr>
            <w:tcW w:w="3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8,831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Controlling interest net income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574,295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1,051,977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(45</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346,639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318,018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9</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EBITDA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1,811,962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1,416,775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28</w:t>
            </w:r>
          </w:p>
        </w:tc>
        <w:tc>
          <w:tcPr>
            <w:tcW w:w="39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1,017,682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821,826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b/>
              </w:rPr>
            </w:pPr>
            <w:r>
              <w:rPr>
                <w:b/>
              </w:rPr>
              <w:t>24</w:t>
            </w:r>
          </w:p>
        </w:tc>
        <w:tc>
          <w:tcPr>
            <w:tcW w:w="35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18</w:t>
            </w:r>
          </w:p>
        </w:tc>
        <w:tc>
          <w:tcPr>
            <w:tcW w:w="320" w:type="dxa"/>
            <w:tcBorders/>
            <w:vAlign w:val="bottom"/>
          </w:tcPr>
          <w:p>
            <w:pPr>
              <w:pStyle w:val="TableContents"/>
              <w:bidi w:val="0"/>
              <w:spacing w:before="0" w:after="283"/>
              <w:jc w:val="left"/>
              <w:rPr>
                <w:b/>
              </w:rPr>
            </w:pPr>
            <w:r>
              <w:rPr>
                <w:b/>
              </w:rPr>
              <w:t>% </w:t>
            </w:r>
          </w:p>
        </w:tc>
      </w:tr>
      <w:tr>
        <w:trPr/>
        <w:tc>
          <w:tcPr>
            <w:tcW w:w="29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Earnings (loss) of continued operations per ADS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(45</w:t>
            </w:r>
          </w:p>
        </w:tc>
        <w:tc>
          <w:tcPr>
            <w:tcW w:w="3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b/>
              </w:rPr>
            </w:pPr>
            <w:r>
              <w:rPr>
                <w:b/>
              </w:rPr>
              <w:t>10</w:t>
            </w:r>
          </w:p>
        </w:tc>
        <w:tc>
          <w:tcPr>
            <w:tcW w:w="35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80"/>
        <w:gridCol w:w="173"/>
        <w:gridCol w:w="60"/>
        <w:gridCol w:w="1111"/>
        <w:gridCol w:w="155"/>
        <w:gridCol w:w="151"/>
        <w:gridCol w:w="60"/>
        <w:gridCol w:w="1111"/>
        <w:gridCol w:w="155"/>
        <w:gridCol w:w="151"/>
        <w:gridCol w:w="79"/>
        <w:gridCol w:w="587"/>
        <w:gridCol w:w="399"/>
      </w:tblGrid>
      <w:tr>
        <w:trPr/>
        <w:tc>
          <w:tcPr>
            <w:tcW w:w="438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8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3620" w:type="dxa"/>
            <w:gridSpan w:val="10"/>
            <w:tcBorders/>
            <w:vAlign w:val="bottom"/>
          </w:tcPr>
          <w:p>
            <w:pPr>
              <w:pStyle w:val="TableContents"/>
              <w:bidi w:val="0"/>
              <w:spacing w:before="0" w:after="283"/>
              <w:jc w:val="center"/>
              <w:rPr>
                <w:b/>
              </w:rPr>
            </w:pPr>
            <w:r>
              <w:rPr>
                <w:b/>
              </w:rPr>
              <w:t>As of June 30</w:t>
            </w:r>
          </w:p>
        </w:tc>
        <w:tc>
          <w:tcPr>
            <w:tcW w:w="399" w:type="dxa"/>
            <w:tcBorders/>
            <w:vAlign w:val="bottom"/>
          </w:tcPr>
          <w:p>
            <w:pPr>
              <w:pStyle w:val="TableContents"/>
              <w:bidi w:val="0"/>
              <w:spacing w:before="0" w:after="283"/>
              <w:jc w:val="left"/>
              <w:rPr/>
            </w:pPr>
            <w:r>
              <w:rPr/>
              <w:t> </w:t>
            </w:r>
          </w:p>
        </w:tc>
      </w:tr>
      <w:tr>
        <w:trPr/>
        <w:tc>
          <w:tcPr>
            <w:tcW w:w="43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STATEMENT OF FINANCIAL POSITION</w:t>
            </w:r>
          </w:p>
        </w:tc>
        <w:tc>
          <w:tcPr>
            <w:tcW w:w="173"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28,269,103</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28,801,933</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b/>
              </w:rPr>
            </w:pPr>
            <w:r>
              <w:rPr>
                <w:b/>
              </w:rPr>
              <w:t>(2</w:t>
            </w:r>
          </w:p>
        </w:tc>
        <w:tc>
          <w:tcPr>
            <w:tcW w:w="399" w:type="dxa"/>
            <w:tcBorders/>
            <w:shd w:fill="CCEEFF" w:val="clear"/>
            <w:vAlign w:val="bottom"/>
          </w:tcPr>
          <w:p>
            <w:pPr>
              <w:pStyle w:val="TableContents"/>
              <w:bidi w:val="0"/>
              <w:spacing w:before="0" w:after="283"/>
              <w:jc w:val="left"/>
              <w:rPr>
                <w:b/>
              </w:rPr>
            </w:pPr>
            <w:r>
              <w:rPr>
                <w:b/>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653,684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1,165,526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(44</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 less allowance for doubtful accounts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2,065,065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1,918,649</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8</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894,874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739,183</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21</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1,573,707</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1,619,668</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(3</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545,957</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29,536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N/A</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146,726</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186,711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(21</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5,880,012</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5,659,272</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4</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machinery and equipment, net</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11,794,831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11,912,731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(1</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10,594,260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11,229,930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(6</w:t>
            </w:r>
          </w:p>
        </w:tc>
        <w:tc>
          <w:tcPr>
            <w:tcW w:w="399" w:type="dxa"/>
            <w:tcBorders/>
            <w:vAlign w:val="bottom"/>
          </w:tcPr>
          <w:p>
            <w:pPr>
              <w:pStyle w:val="TableContents"/>
              <w:bidi w:val="0"/>
              <w:spacing w:before="0" w:after="283"/>
              <w:jc w:val="left"/>
              <w:rPr/>
            </w:pPr>
            <w:r>
              <w:rPr/>
              <w:t>%) </w:t>
            </w:r>
          </w:p>
        </w:tc>
      </w:tr>
      <w:tr>
        <w:trPr/>
        <w:tc>
          <w:tcPr>
            <w:tcW w:w="438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399" w:type="dxa"/>
            <w:tcBorders/>
            <w:vAlign w:val="center"/>
          </w:tcPr>
          <w:p>
            <w:pPr>
              <w:pStyle w:val="TableContents"/>
              <w:bidi w:val="0"/>
              <w:spacing w:before="0" w:after="283"/>
              <w:jc w:val="left"/>
              <w:rPr/>
            </w:pPr>
            <w:r>
              <w:rPr/>
              <w:t> </w:t>
            </w:r>
          </w:p>
        </w:tc>
      </w:tr>
      <w:tr>
        <w:trPr/>
        <w:tc>
          <w:tcPr>
            <w:tcW w:w="43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15,433,130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15,144,566</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b/>
              </w:rPr>
            </w:pPr>
            <w:r>
              <w:rPr>
                <w:b/>
              </w:rPr>
              <w:t>2</w:t>
            </w:r>
          </w:p>
        </w:tc>
        <w:tc>
          <w:tcPr>
            <w:tcW w:w="399" w:type="dxa"/>
            <w:tcBorders/>
            <w:shd w:fill="CCEEFF" w:val="clear"/>
            <w:vAlign w:val="bottom"/>
          </w:tcPr>
          <w:p>
            <w:pPr>
              <w:pStyle w:val="TableContents"/>
              <w:bidi w:val="0"/>
              <w:spacing w:before="0" w:after="283"/>
              <w:jc w:val="left"/>
              <w:rPr>
                <w:b/>
              </w:rPr>
            </w:pPr>
            <w:r>
              <w:rPr>
                <w:b/>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6,373,890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6,596,824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(3</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5,645,650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5,101,757</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11</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3,413,590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3,445,985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(1</w:t>
            </w:r>
          </w:p>
        </w:tc>
        <w:tc>
          <w:tcPr>
            <w:tcW w:w="399" w:type="dxa"/>
            <w:tcBorders/>
            <w:vAlign w:val="bottom"/>
          </w:tcPr>
          <w:p>
            <w:pPr>
              <w:pStyle w:val="TableContents"/>
              <w:bidi w:val="0"/>
              <w:spacing w:before="0" w:after="283"/>
              <w:jc w:val="left"/>
              <w:rPr/>
            </w:pPr>
            <w:r>
              <w:rPr/>
              <w:t>%) </w:t>
            </w:r>
          </w:p>
        </w:tc>
      </w:tr>
      <w:tr>
        <w:trPr/>
        <w:tc>
          <w:tcPr>
            <w:tcW w:w="438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399" w:type="dxa"/>
            <w:tcBorders/>
            <w:vAlign w:val="center"/>
          </w:tcPr>
          <w:p>
            <w:pPr>
              <w:pStyle w:val="TableContents"/>
              <w:bidi w:val="0"/>
              <w:spacing w:before="0" w:after="283"/>
              <w:jc w:val="left"/>
              <w:rPr/>
            </w:pPr>
            <w:r>
              <w:rPr/>
              <w:t> </w:t>
            </w:r>
          </w:p>
        </w:tc>
      </w:tr>
      <w:tr>
        <w:trPr/>
        <w:tc>
          <w:tcPr>
            <w:tcW w:w="43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12,835,973</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13,657,367</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b/>
              </w:rPr>
            </w:pPr>
            <w:r>
              <w:rPr>
                <w:b/>
              </w:rPr>
              <w:t>(6</w:t>
            </w:r>
          </w:p>
        </w:tc>
        <w:tc>
          <w:tcPr>
            <w:tcW w:w="399" w:type="dxa"/>
            <w:tcBorders/>
            <w:shd w:fill="CCEEFF" w:val="clear"/>
            <w:vAlign w:val="bottom"/>
          </w:tcPr>
          <w:p>
            <w:pPr>
              <w:pStyle w:val="TableContents"/>
              <w:bidi w:val="0"/>
              <w:spacing w:before="0" w:after="283"/>
              <w:jc w:val="left"/>
              <w:rPr>
                <w:b/>
              </w:rPr>
            </w:pPr>
            <w:r>
              <w:rPr>
                <w:b/>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and additional paid-in capital</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7,699,108</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7,699,108</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0</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equity reserves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(2,614,417</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(2,482,799</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(5</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Subordinated notes</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974,000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1,975,480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(51</w:t>
            </w:r>
          </w:p>
        </w:tc>
        <w:tc>
          <w:tcPr>
            <w:tcW w:w="399" w:type="dxa"/>
            <w:tcBorders/>
            <w:vAlign w:val="bottom"/>
          </w:tcPr>
          <w:p>
            <w:pPr>
              <w:pStyle w:val="TableContents"/>
              <w:bidi w:val="0"/>
              <w:spacing w:before="0" w:after="283"/>
              <w:jc w:val="left"/>
              <w:rPr/>
            </w:pPr>
            <w:r>
              <w:rPr/>
              <w:t>%) </w:t>
            </w:r>
          </w:p>
        </w:tc>
      </w:tr>
      <w:tr>
        <w:trPr/>
        <w:tc>
          <w:tcPr>
            <w:tcW w:w="4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6,471,330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6,168,730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5</w:t>
            </w:r>
          </w:p>
        </w:tc>
        <w:tc>
          <w:tcPr>
            <w:tcW w:w="399" w:type="dxa"/>
            <w:tcBorders/>
            <w:shd w:fill="CCEEFF" w:val="clear"/>
            <w:vAlign w:val="bottom"/>
          </w:tcPr>
          <w:p>
            <w:pPr>
              <w:pStyle w:val="TableContents"/>
              <w:bidi w:val="0"/>
              <w:spacing w:before="0" w:after="283"/>
              <w:jc w:val="left"/>
              <w:rPr/>
            </w:pPr>
            <w:r>
              <w:rPr/>
              <w:t>% </w:t>
            </w:r>
          </w:p>
        </w:tc>
      </w:tr>
      <w:tr>
        <w:trPr/>
        <w:tc>
          <w:tcPr>
            <w:tcW w:w="438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305,952</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296,848</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3</w:t>
            </w:r>
          </w:p>
        </w:tc>
        <w:tc>
          <w:tcPr>
            <w:tcW w:w="399" w:type="dxa"/>
            <w:tcBorders/>
            <w:vAlign w:val="bottom"/>
          </w:tcPr>
          <w:p>
            <w:pPr>
              <w:pStyle w:val="TableContents"/>
              <w:bidi w:val="0"/>
              <w:spacing w:before="0" w:after="283"/>
              <w:jc w:val="left"/>
              <w:rPr/>
            </w:pPr>
            <w:r>
              <w:rPr/>
              <w:t>% </w:t>
            </w:r>
          </w:p>
        </w:tc>
      </w:tr>
      <w:tr>
        <w:trPr/>
        <w:tc>
          <w:tcPr>
            <w:tcW w:w="438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39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7</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Summary per Country </w:t>
      </w:r>
    </w:p>
    <w:p>
      <w:pPr>
        <w:pStyle w:val="TextBody"/>
        <w:bidi w:val="0"/>
        <w:spacing w:before="0" w:after="0"/>
        <w:jc w:val="left"/>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left"/>
        <w:rPr/>
      </w:pPr>
      <w:r>
        <w:rPr/>
        <w:t> </w:t>
      </w:r>
    </w:p>
    <w:tbl>
      <w:tblPr>
        <w:tblW w:w="11365" w:type="dxa"/>
        <w:jc w:val="center"/>
        <w:tblInd w:w="0" w:type="dxa"/>
        <w:tblLayout w:type="fixed"/>
        <w:tblCellMar>
          <w:top w:w="0" w:type="dxa"/>
          <w:left w:w="0" w:type="dxa"/>
          <w:bottom w:w="0" w:type="dxa"/>
          <w:right w:w="0" w:type="dxa"/>
        </w:tblCellMar>
      </w:tblPr>
      <w:tblGrid>
        <w:gridCol w:w="1145"/>
        <w:gridCol w:w="120"/>
        <w:gridCol w:w="60"/>
        <w:gridCol w:w="980"/>
        <w:gridCol w:w="155"/>
        <w:gridCol w:w="60"/>
        <w:gridCol w:w="60"/>
        <w:gridCol w:w="980"/>
        <w:gridCol w:w="155"/>
        <w:gridCol w:w="60"/>
        <w:gridCol w:w="87"/>
        <w:gridCol w:w="578"/>
        <w:gridCol w:w="350"/>
        <w:gridCol w:w="60"/>
        <w:gridCol w:w="143"/>
        <w:gridCol w:w="942"/>
        <w:gridCol w:w="350"/>
        <w:gridCol w:w="60"/>
        <w:gridCol w:w="60"/>
        <w:gridCol w:w="980"/>
        <w:gridCol w:w="155"/>
        <w:gridCol w:w="60"/>
        <w:gridCol w:w="60"/>
        <w:gridCol w:w="980"/>
        <w:gridCol w:w="155"/>
        <w:gridCol w:w="60"/>
        <w:gridCol w:w="87"/>
        <w:gridCol w:w="578"/>
        <w:gridCol w:w="350"/>
        <w:gridCol w:w="60"/>
        <w:gridCol w:w="143"/>
        <w:gridCol w:w="942"/>
        <w:gridCol w:w="35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70" w:type="dxa"/>
            <w:gridSpan w:val="14"/>
            <w:tcBorders/>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0" w:type="dxa"/>
            <w:gridSpan w:val="14"/>
            <w:tcBorders/>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rPr>
            </w:pPr>
            <w:r>
              <w:rPr>
                <w:b/>
              </w:rPr>
              <w:t>like-to-like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rPr>
            </w:pPr>
            <w:r>
              <w:rPr>
                <w:b/>
              </w:rPr>
              <w:t>like-to-like</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Sales</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2,566,918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2,040,925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1,311,469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1,059,643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2,510,724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2,496,274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1,314,783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1,305,978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2,680,552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2,410,937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1,518,385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1,341,395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1,927,879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1,822,826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1,114,306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1,041,139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752,673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588,111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404,079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300,256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602,149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566,063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306,528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285,373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252,167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192,555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i/>
              </w:rPr>
            </w:pPr>
            <w:r>
              <w:rPr>
                <w:i/>
              </w:rPr>
              <w:t>31</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i/>
              </w:rPr>
            </w:pPr>
            <w:r>
              <w:rPr>
                <w:i/>
              </w:rPr>
              <w:t>35</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142,251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100,147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i/>
              </w:rPr>
            </w:pPr>
            <w:r>
              <w:rPr>
                <w:i/>
              </w:rPr>
              <w:t>42</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i/>
              </w:rPr>
            </w:pPr>
            <w:r>
              <w:rPr>
                <w:i/>
              </w:rPr>
              <w:t>46</w:t>
            </w:r>
          </w:p>
        </w:tc>
        <w:tc>
          <w:tcPr>
            <w:tcW w:w="350" w:type="dxa"/>
            <w:tcBorders/>
            <w:shd w:fill="CCEEFF" w:val="clear"/>
            <w:vAlign w:val="bottom"/>
          </w:tcPr>
          <w:p>
            <w:pPr>
              <w:pStyle w:val="TableContents"/>
              <w:bidi w:val="0"/>
              <w:spacing w:before="0" w:after="283"/>
              <w:jc w:val="left"/>
              <w:rPr>
                <w:i/>
              </w:rPr>
            </w:pPr>
            <w:r>
              <w:rPr>
                <w:i/>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8,612,510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7,706,754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4,593,416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4,092,536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11365" w:type="dxa"/>
            <w:gridSpan w:val="33"/>
            <w:tcBorders/>
            <w:vAlign w:val="center"/>
          </w:tcPr>
          <w:p>
            <w:pPr>
              <w:pStyle w:val="TableContents"/>
              <w:bidi w:val="0"/>
              <w:spacing w:before="0" w:after="283"/>
              <w:jc w:val="left"/>
              <w:rPr>
                <w:sz w:val="4"/>
                <w:szCs w:val="4"/>
              </w:rPr>
            </w:pPr>
            <w:r>
              <w:rPr>
                <w:sz w:val="4"/>
                <w:szCs w:val="4"/>
              </w:rPr>
            </w:r>
          </w:p>
        </w:tc>
      </w:tr>
      <w:tr>
        <w:trPr/>
        <w:tc>
          <w:tcPr>
            <w:tcW w:w="11015" w:type="dxa"/>
            <w:gridSpan w:val="3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GROSS PROFIT</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1,373,624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1,028,579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710,481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546,248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657,429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694,454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364,263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393,598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716,904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616,390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449,967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377,909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558,107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489,453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365,748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314,630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15</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158,798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126,938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84,219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21</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191,890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173,296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99,121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81,727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21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(1,645</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9,467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i/>
              </w:rPr>
            </w:pPr>
            <w:r>
              <w:rPr>
                <w:i/>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i/>
              </w:rPr>
            </w:pPr>
            <w:r>
              <w:rPr>
                <w:i/>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(5,842</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(1,290</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i/>
              </w:rPr>
            </w:pPr>
            <w:r>
              <w:rPr>
                <w:i/>
              </w:rPr>
              <w:t>N/A</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i/>
              </w:rPr>
            </w:pPr>
            <w:r>
              <w:rPr>
                <w:i/>
              </w:rPr>
              <w:t>N/A</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2,938,202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2,522,186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1,617,990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1,398,193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11365" w:type="dxa"/>
            <w:gridSpan w:val="33"/>
            <w:tcBorders/>
            <w:vAlign w:val="center"/>
          </w:tcPr>
          <w:p>
            <w:pPr>
              <w:pStyle w:val="TableContents"/>
              <w:bidi w:val="0"/>
              <w:spacing w:before="0" w:after="283"/>
              <w:jc w:val="left"/>
              <w:rPr>
                <w:sz w:val="4"/>
                <w:szCs w:val="4"/>
              </w:rPr>
            </w:pPr>
            <w:r>
              <w:rPr>
                <w:sz w:val="4"/>
                <w:szCs w:val="4"/>
              </w:rPr>
            </w:r>
          </w:p>
        </w:tc>
      </w:tr>
      <w:tr>
        <w:trPr/>
        <w:tc>
          <w:tcPr>
            <w:tcW w:w="11015" w:type="dxa"/>
            <w:gridSpan w:val="3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EARNINGS BEFORE OTHER EXPENSES, NET</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831,754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553,153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50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435,038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294,029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33</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175,483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212,287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119,182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149,229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272,425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182,864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205,365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141,022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42</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182,242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114,516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156,848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107,056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47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45</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90,182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48,517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33,965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43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34</w:t>
            </w:r>
          </w:p>
        </w:tc>
        <w:tc>
          <w:tcPr>
            <w:tcW w:w="35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88,467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72,741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32,597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(234,797</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(236,294</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i/>
              </w:rPr>
            </w:pPr>
            <w:r>
              <w:rPr>
                <w:i/>
              </w:rPr>
              <w:t>1</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i/>
              </w:rPr>
            </w:pPr>
            <w:r>
              <w:rPr>
                <w:i/>
              </w:rPr>
              <w:t>14</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(123,061</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(122,355</w:t>
            </w:r>
          </w:p>
        </w:tc>
        <w:tc>
          <w:tcPr>
            <w:tcW w:w="15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i/>
              </w:rPr>
            </w:pPr>
            <w:r>
              <w:rPr>
                <w:i/>
              </w:rPr>
              <w:t>(1</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i/>
              </w:rPr>
            </w:pPr>
            <w:r>
              <w:rPr>
                <w:i/>
              </w:rPr>
              <w:t>9</w:t>
            </w:r>
          </w:p>
        </w:tc>
        <w:tc>
          <w:tcPr>
            <w:tcW w:w="350" w:type="dxa"/>
            <w:tcBorders/>
            <w:shd w:fill="CCEEFF" w:val="clear"/>
            <w:vAlign w:val="bottom"/>
          </w:tcPr>
          <w:p>
            <w:pPr>
              <w:pStyle w:val="TableContents"/>
              <w:bidi w:val="0"/>
              <w:spacing w:before="0" w:after="283"/>
              <w:jc w:val="left"/>
              <w:rPr>
                <w:i/>
              </w:rPr>
            </w:pPr>
            <w:r>
              <w:rPr>
                <w:i/>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1,133,332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784,753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44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680,643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494,520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38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8</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Operating Summary per Country </w:t>
      </w:r>
    </w:p>
    <w:p>
      <w:pPr>
        <w:pStyle w:val="TextBody"/>
        <w:bidi w:val="0"/>
        <w:spacing w:before="120" w:after="0"/>
        <w:jc w:val="left"/>
        <w:rPr>
          <w:rFonts w:ascii="Times New Roman" w:hAnsi="Times New Roman"/>
          <w:b/>
          <w:sz w:val="20"/>
        </w:rPr>
      </w:pPr>
      <w:r>
        <w:rPr>
          <w:rFonts w:ascii="Times New Roman" w:hAnsi="Times New Roman"/>
          <w:b/>
          <w:sz w:val="20"/>
        </w:rPr>
        <w:t xml:space="preserve">Operating EBITDA in thousands of U.S. dollars. Operating EBITDA margin as a percentage of sales. </w:t>
      </w:r>
    </w:p>
    <w:p>
      <w:pPr>
        <w:pStyle w:val="TextBody"/>
        <w:bidi w:val="0"/>
        <w:spacing w:before="0" w:after="0"/>
        <w:jc w:val="left"/>
        <w:rPr/>
      </w:pPr>
      <w:r>
        <w:rPr/>
        <w:t> </w:t>
      </w:r>
    </w:p>
    <w:tbl>
      <w:tblPr>
        <w:tblW w:w="12265" w:type="dxa"/>
        <w:jc w:val="center"/>
        <w:tblInd w:w="0" w:type="dxa"/>
        <w:tblLayout w:type="fixed"/>
        <w:tblCellMar>
          <w:top w:w="0" w:type="dxa"/>
          <w:left w:w="0" w:type="dxa"/>
          <w:bottom w:w="0" w:type="dxa"/>
          <w:right w:w="0" w:type="dxa"/>
        </w:tblCellMar>
      </w:tblPr>
      <w:tblGrid>
        <w:gridCol w:w="1685"/>
        <w:gridCol w:w="120"/>
        <w:gridCol w:w="60"/>
        <w:gridCol w:w="980"/>
        <w:gridCol w:w="275"/>
        <w:gridCol w:w="60"/>
        <w:gridCol w:w="60"/>
        <w:gridCol w:w="980"/>
        <w:gridCol w:w="275"/>
        <w:gridCol w:w="60"/>
        <w:gridCol w:w="60"/>
        <w:gridCol w:w="635"/>
        <w:gridCol w:w="350"/>
        <w:gridCol w:w="60"/>
        <w:gridCol w:w="203"/>
        <w:gridCol w:w="882"/>
        <w:gridCol w:w="350"/>
        <w:gridCol w:w="60"/>
        <w:gridCol w:w="60"/>
        <w:gridCol w:w="980"/>
        <w:gridCol w:w="275"/>
        <w:gridCol w:w="60"/>
        <w:gridCol w:w="60"/>
        <w:gridCol w:w="800"/>
        <w:gridCol w:w="275"/>
        <w:gridCol w:w="60"/>
        <w:gridCol w:w="60"/>
        <w:gridCol w:w="635"/>
        <w:gridCol w:w="350"/>
        <w:gridCol w:w="60"/>
        <w:gridCol w:w="164"/>
        <w:gridCol w:w="921"/>
        <w:gridCol w:w="350"/>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940" w:type="dxa"/>
            <w:gridSpan w:val="14"/>
            <w:tcBorders/>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0" w:type="dxa"/>
            <w:gridSpan w:val="14"/>
            <w:tcBorders/>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rPr>
            </w:pPr>
            <w:r>
              <w:rPr>
                <w:b/>
              </w:rPr>
              <w:t>like-to-like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center"/>
              <w:rPr>
                <w:b/>
              </w:rPr>
            </w:pPr>
            <w:r>
              <w:rPr>
                <w:b/>
              </w:rPr>
              <w:t>like-to-like</w:t>
            </w:r>
          </w:p>
        </w:tc>
        <w:tc>
          <w:tcPr>
            <w:tcW w:w="35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EBITDA</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944,560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655,109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491,330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346,875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27</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438,124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468,282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248,207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278,537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444,286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346,060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292,624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229,194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314,178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246,589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223,654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177,904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130,109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99,471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68,969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51,290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132,756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104,720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66,407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49,540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Others and intercompany eliminations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(147,764</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(157,396</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6</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i/>
              </w:rPr>
            </w:pPr>
            <w:r>
              <w:rPr>
                <w:i/>
              </w:rPr>
              <w:t>27</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i/>
              </w:rPr>
            </w:pPr>
            <w:r>
              <w:rPr>
                <w:i/>
              </w:rPr>
              <w:t>(80,886</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i/>
              </w:rPr>
            </w:pPr>
            <w:r>
              <w:rPr>
                <w:i/>
              </w:rPr>
              <w:t>(82,319</w:t>
            </w:r>
          </w:p>
        </w:tc>
        <w:tc>
          <w:tcPr>
            <w:tcW w:w="275"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2</w:t>
            </w:r>
          </w:p>
        </w:tc>
        <w:tc>
          <w:tcPr>
            <w:tcW w:w="350" w:type="dxa"/>
            <w:tcBorders/>
            <w:shd w:fill="CCEEFF" w:val="clear"/>
            <w:vAlign w:val="bottom"/>
          </w:tcPr>
          <w:p>
            <w:pPr>
              <w:pStyle w:val="TableContents"/>
              <w:bidi w:val="0"/>
              <w:spacing w:before="0" w:after="283"/>
              <w:jc w:val="left"/>
              <w:rPr>
                <w:i/>
              </w:rPr>
            </w:pPr>
            <w:r>
              <w:rPr>
                <w:i/>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i/>
              </w:rPr>
            </w:pPr>
            <w:r>
              <w:rPr>
                <w:i/>
              </w:rPr>
              <w:t>16</w:t>
            </w:r>
          </w:p>
        </w:tc>
        <w:tc>
          <w:tcPr>
            <w:tcW w:w="350" w:type="dxa"/>
            <w:tcBorders/>
            <w:shd w:fill="CCEEFF" w:val="clear"/>
            <w:vAlign w:val="bottom"/>
          </w:tcPr>
          <w:p>
            <w:pPr>
              <w:pStyle w:val="TableContents"/>
              <w:bidi w:val="0"/>
              <w:spacing w:before="0" w:after="283"/>
              <w:jc w:val="left"/>
              <w:rPr>
                <w:i/>
              </w:rPr>
            </w:pPr>
            <w:r>
              <w:rPr>
                <w:i/>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1,811,962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1,416,775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1,017,682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821,826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18</w:t>
            </w:r>
          </w:p>
        </w:tc>
        <w:tc>
          <w:tcPr>
            <w:tcW w:w="35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12265" w:type="dxa"/>
            <w:gridSpan w:val="33"/>
            <w:tcBorders/>
            <w:vAlign w:val="center"/>
          </w:tcPr>
          <w:p>
            <w:pPr>
              <w:pStyle w:val="TableContents"/>
              <w:bidi w:val="0"/>
              <w:spacing w:before="0" w:after="283"/>
              <w:jc w:val="left"/>
              <w:rPr>
                <w:sz w:val="4"/>
                <w:szCs w:val="4"/>
              </w:rPr>
            </w:pPr>
            <w:r>
              <w:rPr>
                <w:sz w:val="4"/>
                <w:szCs w:val="4"/>
              </w:rPr>
            </w:r>
          </w:p>
        </w:tc>
      </w:tr>
      <w:tr>
        <w:trPr/>
        <w:tc>
          <w:tcPr>
            <w:tcW w:w="11915" w:type="dxa"/>
            <w:gridSpan w:val="3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OPERATING EBITDA MARGIN</w:t>
            </w:r>
          </w:p>
        </w:tc>
        <w:tc>
          <w:tcPr>
            <w:tcW w:w="350" w:type="dxa"/>
            <w:tcBorders/>
            <w:vAlign w:val="bottom"/>
          </w:tcPr>
          <w:p>
            <w:pPr>
              <w:pStyle w:val="TableContents"/>
              <w:bidi w:val="0"/>
              <w:spacing w:before="0" w:after="283"/>
              <w:jc w:val="left"/>
              <w:rPr/>
            </w:pPr>
            <w:r>
              <w:rPr/>
              <w:t> </w:t>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4.7pp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4.8pp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(1.3pp</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(2.4pp</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2.2pp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2.2pp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2.8pp</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3.0pp</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0.4pp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0.0pp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3.5pp</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4.3pp</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2.6pp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2.1pp</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6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9</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Volume Summary </w:t>
      </w:r>
    </w:p>
    <w:p>
      <w:pPr>
        <w:pStyle w:val="TextBody"/>
        <w:bidi w:val="0"/>
        <w:spacing w:before="0" w:after="0"/>
        <w:jc w:val="left"/>
        <w:rPr>
          <w:rFonts w:ascii="Times New Roman" w:hAnsi="Times New Roman"/>
          <w:b/>
          <w:sz w:val="20"/>
        </w:rPr>
      </w:pPr>
      <w:r>
        <w:rPr>
          <w:rFonts w:ascii="Times New Roman" w:hAnsi="Times New Roman"/>
          <w:b/>
          <w:sz w:val="20"/>
        </w:rPr>
        <w:t xml:space="preserve">Cement and aggregates: Thousands of metric tons. </w:t>
      </w:r>
    </w:p>
    <w:p>
      <w:pPr>
        <w:pStyle w:val="TextBody"/>
        <w:bidi w:val="0"/>
        <w:spacing w:before="0" w:after="0"/>
        <w:jc w:val="left"/>
        <w:rPr>
          <w:rFonts w:ascii="Times New Roman" w:hAnsi="Times New Roman"/>
          <w:b/>
          <w:sz w:val="20"/>
        </w:rPr>
      </w:pPr>
      <w:r>
        <w:rPr>
          <w:rFonts w:ascii="Times New Roman" w:hAnsi="Times New Roman"/>
          <w:b/>
          <w:sz w:val="20"/>
        </w:rPr>
        <w:t xml:space="preserve">Ready-mix: Thousands of cubic meters.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2"/>
        <w:gridCol w:w="148"/>
        <w:gridCol w:w="60"/>
        <w:gridCol w:w="682"/>
        <w:gridCol w:w="60"/>
        <w:gridCol w:w="148"/>
        <w:gridCol w:w="60"/>
        <w:gridCol w:w="682"/>
        <w:gridCol w:w="60"/>
        <w:gridCol w:w="148"/>
        <w:gridCol w:w="145"/>
        <w:gridCol w:w="542"/>
        <w:gridCol w:w="350"/>
        <w:gridCol w:w="95"/>
        <w:gridCol w:w="60"/>
        <w:gridCol w:w="681"/>
        <w:gridCol w:w="60"/>
        <w:gridCol w:w="148"/>
        <w:gridCol w:w="60"/>
        <w:gridCol w:w="682"/>
        <w:gridCol w:w="60"/>
        <w:gridCol w:w="148"/>
        <w:gridCol w:w="145"/>
        <w:gridCol w:w="542"/>
        <w:gridCol w:w="357"/>
      </w:tblGrid>
      <w:tr>
        <w:trPr/>
        <w:tc>
          <w:tcPr>
            <w:tcW w:w="4082"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692" w:type="dxa"/>
            <w:gridSpan w:val="6"/>
            <w:tcBorders/>
            <w:vAlign w:val="bottom"/>
          </w:tcPr>
          <w:p>
            <w:pPr>
              <w:pStyle w:val="TableContents"/>
              <w:bidi w:val="0"/>
              <w:spacing w:before="0" w:after="283"/>
              <w:jc w:val="center"/>
              <w:rPr>
                <w:b/>
              </w:rPr>
            </w:pPr>
            <w:r>
              <w:rPr>
                <w:b/>
              </w:rPr>
              <w:t>January - June</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7"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691" w:type="dxa"/>
            <w:gridSpan w:val="6"/>
            <w:tcBorders/>
            <w:vAlign w:val="bottom"/>
          </w:tcPr>
          <w:p>
            <w:pPr>
              <w:pStyle w:val="TableContents"/>
              <w:bidi w:val="0"/>
              <w:spacing w:before="0" w:after="283"/>
              <w:jc w:val="center"/>
              <w:rPr>
                <w:b/>
              </w:rPr>
            </w:pPr>
            <w:r>
              <w:rPr>
                <w:b/>
              </w:rPr>
              <w:t>Second Quarter</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7"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357" w:type="dxa"/>
            <w:tcBorders/>
            <w:vAlign w:val="bottom"/>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cement volume (1)</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25,409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25,381</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13,360</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13,215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w:t>
            </w:r>
          </w:p>
        </w:tc>
        <w:tc>
          <w:tcPr>
            <w:tcW w:w="357" w:type="dxa"/>
            <w:tcBorders/>
            <w:shd w:fill="CCEEFF" w:val="clear"/>
            <w:vAlign w:val="bottom"/>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ready-mix volume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20,946</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21,191</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10,848</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10,802</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right"/>
              <w:rPr/>
            </w:pPr>
            <w:r>
              <w:rPr/>
              <w:t>0</w:t>
            </w:r>
          </w:p>
        </w:tc>
        <w:tc>
          <w:tcPr>
            <w:tcW w:w="357" w:type="dxa"/>
            <w:tcBorders/>
            <w:vAlign w:val="bottom"/>
          </w:tcPr>
          <w:p>
            <w:pPr>
              <w:pStyle w:val="TableContents"/>
              <w:bidi w:val="0"/>
              <w:spacing w:before="0" w:after="283"/>
              <w:jc w:val="left"/>
              <w:rPr/>
            </w:pPr>
            <w:r>
              <w:rPr/>
              <w:t>% </w:t>
            </w:r>
          </w:p>
        </w:tc>
      </w:tr>
      <w:tr>
        <w:trPr/>
        <w:tc>
          <w:tcPr>
            <w:tcW w:w="4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aggregates volume (2)</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63,139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63,565</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32,967</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33,519</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42" w:type="dxa"/>
            <w:tcBorders/>
            <w:shd w:fill="CCEEFF" w:val="clear"/>
            <w:vAlign w:val="bottom"/>
          </w:tcPr>
          <w:p>
            <w:pPr>
              <w:pStyle w:val="TableContents"/>
              <w:bidi w:val="0"/>
              <w:spacing w:before="0" w:after="283"/>
              <w:jc w:val="right"/>
              <w:rPr/>
            </w:pPr>
            <w:r>
              <w:rPr/>
              <w:t>(2</w:t>
            </w:r>
          </w:p>
        </w:tc>
        <w:tc>
          <w:tcPr>
            <w:tcW w:w="357" w:type="dxa"/>
            <w:tcBorders/>
            <w:shd w:fill="CCEEFF" w:val="cle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42"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Per-country volume summary </w:t>
      </w:r>
    </w:p>
    <w:p>
      <w:pPr>
        <w:pStyle w:val="TextBody"/>
        <w:bidi w:val="0"/>
        <w:spacing w:before="0" w:after="0"/>
        <w:jc w:val="left"/>
        <w:rPr/>
      </w:pPr>
      <w:r>
        <w:rPr/>
        <w:t> </w:t>
      </w:r>
    </w:p>
    <w:tbl>
      <w:tblPr>
        <w:tblW w:w="9725" w:type="dxa"/>
        <w:jc w:val="center"/>
        <w:tblInd w:w="0" w:type="dxa"/>
        <w:tblLayout w:type="fixed"/>
        <w:tblCellMar>
          <w:top w:w="0" w:type="dxa"/>
          <w:left w:w="0" w:type="dxa"/>
          <w:bottom w:w="0" w:type="dxa"/>
          <w:right w:w="0" w:type="dxa"/>
        </w:tblCellMar>
      </w:tblPr>
      <w:tblGrid>
        <w:gridCol w:w="2975"/>
        <w:gridCol w:w="120"/>
        <w:gridCol w:w="237"/>
        <w:gridCol w:w="1328"/>
        <w:gridCol w:w="350"/>
        <w:gridCol w:w="60"/>
        <w:gridCol w:w="249"/>
        <w:gridCol w:w="1391"/>
        <w:gridCol w:w="350"/>
        <w:gridCol w:w="60"/>
        <w:gridCol w:w="422"/>
        <w:gridCol w:w="1833"/>
        <w:gridCol w:w="35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vAlign w:val="bottom"/>
          </w:tcPr>
          <w:p>
            <w:pPr>
              <w:pStyle w:val="TableContents"/>
              <w:bidi w:val="0"/>
              <w:spacing w:before="0" w:after="283"/>
              <w:jc w:val="center"/>
              <w:rPr>
                <w:b/>
              </w:rPr>
            </w:pPr>
            <w:r>
              <w:rPr>
                <w:b/>
              </w:rPr>
              <w:t>Second Quarter 2026</w:t>
            </w:r>
          </w:p>
        </w:tc>
        <w:tc>
          <w:tcPr>
            <w:tcW w:w="35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DOMESTIC GRAY CEMENT VOLUME</w:t>
            </w:r>
          </w:p>
        </w:tc>
        <w:tc>
          <w:tcPr>
            <w:tcW w:w="12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vs. First Quarter 2026</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41</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9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9725" w:type="dxa"/>
            <w:gridSpan w:val="13"/>
            <w:tcBorders/>
            <w:vAlign w:val="center"/>
          </w:tcPr>
          <w:p>
            <w:pPr>
              <w:pStyle w:val="TableContents"/>
              <w:bidi w:val="0"/>
              <w:spacing w:before="0" w:after="283"/>
              <w:jc w:val="left"/>
              <w:rPr>
                <w:sz w:val="4"/>
                <w:szCs w:val="4"/>
              </w:rPr>
            </w:pPr>
            <w:r>
              <w:rPr>
                <w:sz w:val="4"/>
                <w:szCs w:val="4"/>
              </w:rPr>
            </w:r>
          </w:p>
        </w:tc>
      </w:tr>
      <w:tr>
        <w:trPr/>
        <w:tc>
          <w:tcPr>
            <w:tcW w:w="9375" w:type="dxa"/>
            <w:gridSpan w:val="1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READY-MIX VOLUME</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9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rHeight w:val="240" w:hRule="atLeast"/>
        </w:trPr>
        <w:tc>
          <w:tcPr>
            <w:tcW w:w="9725" w:type="dxa"/>
            <w:gridSpan w:val="13"/>
            <w:tcBorders/>
            <w:vAlign w:val="center"/>
          </w:tcPr>
          <w:p>
            <w:pPr>
              <w:pStyle w:val="TableContents"/>
              <w:bidi w:val="0"/>
              <w:spacing w:before="0" w:after="283"/>
              <w:jc w:val="left"/>
              <w:rPr>
                <w:sz w:val="4"/>
                <w:szCs w:val="4"/>
              </w:rPr>
            </w:pPr>
            <w:r>
              <w:rPr>
                <w:sz w:val="4"/>
                <w:szCs w:val="4"/>
              </w:rPr>
            </w:r>
          </w:p>
        </w:tc>
      </w:tr>
      <w:tr>
        <w:trPr/>
        <w:tc>
          <w:tcPr>
            <w:tcW w:w="9375" w:type="dxa"/>
            <w:gridSpan w:val="1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AGGREGATES VOLUME</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w:t>
            </w:r>
          </w:p>
        </w:tc>
        <w:tc>
          <w:tcPr>
            <w:tcW w:w="12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391"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33"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w:t>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391"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33"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39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pBdr>
                <w:top w:val="single" w:sz="2" w:space="1" w:color="000000"/>
              </w:pBdr>
              <w:bidi w:val="0"/>
              <w:spacing w:before="0" w:after="0"/>
              <w:jc w:val="left"/>
              <w:rPr/>
            </w:pPr>
            <w:r>
              <w:rPr/>
              <w:t> </w:t>
            </w:r>
          </w:p>
        </w:tc>
        <w:tc>
          <w:tcPr>
            <w:tcW w:w="18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cement volume includes domestic and export volume of gray cement, white cement, special cement, mortar, and clinker.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aggregates volumes include aggregates from our marine business in the United Kingdom.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10</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Price Summary </w:t>
      </w:r>
    </w:p>
    <w:p>
      <w:pPr>
        <w:pStyle w:val="TextBody"/>
        <w:bidi w:val="0"/>
        <w:spacing w:before="240" w:after="0"/>
        <w:jc w:val="left"/>
        <w:rPr>
          <w:rFonts w:ascii="Times New Roman" w:hAnsi="Times New Roman"/>
          <w:b/>
          <w:sz w:val="20"/>
        </w:rPr>
      </w:pPr>
      <w:r>
        <w:rPr>
          <w:rFonts w:ascii="Times New Roman" w:hAnsi="Times New Roman"/>
          <w:b/>
          <w:sz w:val="20"/>
        </w:rPr>
        <w:t xml:space="preserve">Variation in U.S.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9"/>
        <w:gridCol w:w="254"/>
        <w:gridCol w:w="293"/>
        <w:gridCol w:w="1272"/>
        <w:gridCol w:w="350"/>
        <w:gridCol w:w="217"/>
        <w:gridCol w:w="307"/>
        <w:gridCol w:w="1333"/>
        <w:gridCol w:w="350"/>
        <w:gridCol w:w="217"/>
        <w:gridCol w:w="470"/>
        <w:gridCol w:w="2040"/>
        <w:gridCol w:w="353"/>
      </w:tblGrid>
      <w:tr>
        <w:trPr/>
        <w:tc>
          <w:tcPr>
            <w:tcW w:w="2749"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4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Second Quarter 2026 vs.</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DOMESTIC GRAY CEMENT PRICE</w:t>
            </w:r>
          </w:p>
        </w:tc>
        <w:tc>
          <w:tcPr>
            <w:tcW w:w="254"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First Quarter 2026</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21</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2</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4</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Europe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(2</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15</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(2</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pBdr>
                <w:top w:val="single" w:sz="2" w:space="1" w:color="000000"/>
              </w:pBdr>
              <w:bidi w:val="0"/>
              <w:spacing w:before="0" w:after="0"/>
              <w:jc w:val="left"/>
              <w:rPr/>
            </w:pPr>
            <w:r>
              <w:rPr/>
              <w:t> </w:t>
            </w:r>
          </w:p>
        </w:tc>
        <w:tc>
          <w:tcPr>
            <w:tcW w:w="204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9852" w:type="dxa"/>
            <w:gridSpan w:val="1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READY-MIX PRICE</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17</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3</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2</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13</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5</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Europe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30</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13</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13</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3</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pBdr>
                <w:top w:val="single" w:sz="2" w:space="1" w:color="000000"/>
              </w:pBdr>
              <w:bidi w:val="0"/>
              <w:spacing w:before="0" w:after="0"/>
              <w:jc w:val="left"/>
              <w:rPr/>
            </w:pPr>
            <w:r>
              <w:rPr/>
              <w:t> </w:t>
            </w:r>
          </w:p>
        </w:tc>
        <w:tc>
          <w:tcPr>
            <w:tcW w:w="204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9852" w:type="dxa"/>
            <w:gridSpan w:val="1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AGGREGATES PRICE</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5</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2</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Europe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27</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29</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040" w:type="dxa"/>
            <w:tcBorders/>
            <w:shd w:fill="CCEEFF" w:val="clear"/>
            <w:vAlign w:val="bottom"/>
          </w:tcPr>
          <w:p>
            <w:pPr>
              <w:pStyle w:val="TableContents"/>
              <w:bidi w:val="0"/>
              <w:spacing w:before="0" w:after="283"/>
              <w:jc w:val="right"/>
              <w:rPr/>
            </w:pPr>
            <w:r>
              <w:rPr/>
              <w:t>8</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13</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040" w:type="dxa"/>
            <w:tcBorders/>
            <w:vAlign w:val="bottom"/>
          </w:tcPr>
          <w:p>
            <w:pPr>
              <w:pStyle w:val="TableContents"/>
              <w:bidi w:val="0"/>
              <w:spacing w:before="0" w:after="283"/>
              <w:jc w:val="right"/>
              <w:rPr/>
            </w:pPr>
            <w:r>
              <w:rPr/>
              <w:t>11</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470" w:type="dxa"/>
            <w:tcBorders/>
            <w:vAlign w:val="bottom"/>
          </w:tcPr>
          <w:p>
            <w:pPr>
              <w:pStyle w:val="TableContents"/>
              <w:pBdr>
                <w:top w:val="single" w:sz="2" w:space="1" w:color="000000"/>
              </w:pBdr>
              <w:bidi w:val="0"/>
              <w:spacing w:before="0" w:after="0"/>
              <w:jc w:val="left"/>
              <w:rPr/>
            </w:pPr>
            <w:r>
              <w:rPr/>
              <w:t> </w:t>
            </w:r>
          </w:p>
        </w:tc>
        <w:tc>
          <w:tcPr>
            <w:tcW w:w="204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price variations are based on FOB prices.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variation in U.S. dollars calculated on a volume-weighted-average basis; price variation in local currency calculated on a volume-weighted-average basis at constant foreign-exchange rates.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11</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Operating results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Variation in Local Currency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9"/>
        <w:gridCol w:w="254"/>
        <w:gridCol w:w="293"/>
        <w:gridCol w:w="1272"/>
        <w:gridCol w:w="350"/>
        <w:gridCol w:w="217"/>
        <w:gridCol w:w="307"/>
        <w:gridCol w:w="1333"/>
        <w:gridCol w:w="350"/>
        <w:gridCol w:w="217"/>
        <w:gridCol w:w="547"/>
        <w:gridCol w:w="1963"/>
        <w:gridCol w:w="353"/>
      </w:tblGrid>
      <w:tr>
        <w:trPr/>
        <w:tc>
          <w:tcPr>
            <w:tcW w:w="2749"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4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65" w:type="dxa"/>
            <w:gridSpan w:val="2"/>
            <w:tcBorders/>
            <w:vAlign w:val="bottom"/>
          </w:tcPr>
          <w:p>
            <w:pPr>
              <w:pStyle w:val="TableContents"/>
              <w:bidi w:val="0"/>
              <w:spacing w:before="0" w:after="283"/>
              <w:jc w:val="center"/>
              <w:rPr>
                <w:b/>
              </w:rPr>
            </w:pPr>
            <w:r>
              <w:rPr>
                <w:b/>
              </w:rPr>
              <w:t>January - June</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510" w:type="dxa"/>
            <w:gridSpan w:val="2"/>
            <w:tcBorders/>
            <w:vAlign w:val="bottom"/>
          </w:tcPr>
          <w:p>
            <w:pPr>
              <w:pStyle w:val="TableContents"/>
              <w:bidi w:val="0"/>
              <w:spacing w:before="0" w:after="283"/>
              <w:jc w:val="center"/>
              <w:rPr>
                <w:b/>
              </w:rPr>
            </w:pPr>
            <w:r>
              <w:rPr>
                <w:b/>
              </w:rPr>
              <w:t>Second Quarter 2026 vs.</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DOMESTIC GRAY CEMENT PRICE</w:t>
            </w:r>
          </w:p>
        </w:tc>
        <w:tc>
          <w:tcPr>
            <w:tcW w:w="254"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vs. 2025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First Quarter 2026</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2</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1</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5</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Europe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(1</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(1</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963"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9852" w:type="dxa"/>
            <w:gridSpan w:val="1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READY-MIX PRICE</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2</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(0</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2</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3</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Europe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7</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963"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9852" w:type="dxa"/>
            <w:gridSpan w:val="1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AGGREGATES PRICE</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4</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U.S.A.</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 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1</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Europe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0</w:t>
            </w:r>
          </w:p>
        </w:tc>
        <w:tc>
          <w:tcPr>
            <w:tcW w:w="353"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Middle East and Africa (*)</w:t>
            </w:r>
          </w:p>
        </w:tc>
        <w:tc>
          <w:tcPr>
            <w:tcW w:w="254"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left"/>
              <w:rPr/>
            </w:pPr>
            <w:r>
              <w:rPr/>
              <w:t> </w:t>
            </w:r>
          </w:p>
        </w:tc>
        <w:tc>
          <w:tcPr>
            <w:tcW w:w="1963" w:type="dxa"/>
            <w:tcBorders/>
            <w:shd w:fill="CCEEFF" w:val="clear"/>
            <w:vAlign w:val="bottom"/>
          </w:tcPr>
          <w:p>
            <w:pPr>
              <w:pStyle w:val="TableContents"/>
              <w:bidi w:val="0"/>
              <w:spacing w:before="0" w:after="283"/>
              <w:jc w:val="right"/>
              <w:rPr/>
            </w:pPr>
            <w:r>
              <w:rPr/>
              <w:t>0</w:t>
            </w:r>
          </w:p>
        </w:tc>
        <w:tc>
          <w:tcPr>
            <w:tcW w:w="353"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South, Central America and the Caribbean (*)</w:t>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963" w:type="dxa"/>
            <w:tcBorders/>
            <w:vAlign w:val="bottom"/>
          </w:tcPr>
          <w:p>
            <w:pPr>
              <w:pStyle w:val="TableContents"/>
              <w:bidi w:val="0"/>
              <w:spacing w:before="0" w:after="283"/>
              <w:jc w:val="right"/>
              <w:rPr/>
            </w:pPr>
            <w:r>
              <w:rPr/>
              <w:t>7</w:t>
            </w:r>
          </w:p>
        </w:tc>
        <w:tc>
          <w:tcPr>
            <w:tcW w:w="353"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293"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307"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547" w:type="dxa"/>
            <w:tcBorders/>
            <w:vAlign w:val="bottom"/>
          </w:tcPr>
          <w:p>
            <w:pPr>
              <w:pStyle w:val="TableContents"/>
              <w:pBdr>
                <w:top w:val="single" w:sz="2" w:space="1" w:color="000000"/>
              </w:pBdr>
              <w:bidi w:val="0"/>
              <w:spacing w:before="0" w:after="0"/>
              <w:jc w:val="left"/>
              <w:rPr/>
            </w:pPr>
            <w:r>
              <w:rPr/>
              <w:t> </w:t>
            </w:r>
          </w:p>
        </w:tc>
        <w:tc>
          <w:tcPr>
            <w:tcW w:w="1963"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price variations are based on FOB prices.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variation in U.S. dollars calculated on a volume-weighted-average basis; price variation in local currency calculated on a volume-weighted-average basis at constant foreign-exchange rates.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12</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Definitions of terms and disclosures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10230" cy="9972040"/>
                <wp:effectExtent l="0" t="0" r="0" b="0"/>
                <wp:wrapSquare wrapText="right"/>
                <wp:docPr id="18" name="Frame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breakdown of operating expenses for the period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0"/>
                              <w:gridCol w:w="47"/>
                              <w:gridCol w:w="28"/>
                              <w:gridCol w:w="580"/>
                              <w:gridCol w:w="29"/>
                              <w:gridCol w:w="46"/>
                              <w:gridCol w:w="29"/>
                              <w:gridCol w:w="580"/>
                              <w:gridCol w:w="29"/>
                              <w:gridCol w:w="46"/>
                              <w:gridCol w:w="37"/>
                              <w:gridCol w:w="348"/>
                              <w:gridCol w:w="74"/>
                              <w:gridCol w:w="46"/>
                              <w:gridCol w:w="29"/>
                              <w:gridCol w:w="468"/>
                              <w:gridCol w:w="29"/>
                              <w:gridCol w:w="46"/>
                              <w:gridCol w:w="29"/>
                              <w:gridCol w:w="468"/>
                              <w:gridCol w:w="29"/>
                              <w:gridCol w:w="46"/>
                              <w:gridCol w:w="37"/>
                              <w:gridCol w:w="348"/>
                              <w:gridCol w:w="80"/>
                            </w:tblGrid>
                            <w:tr>
                              <w:trPr/>
                              <w:tc>
                                <w:tcPr>
                                  <w:tcW w:w="1370"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1752" w:type="dxa"/>
                                  <w:gridSpan w:val="10"/>
                                  <w:tcBorders/>
                                  <w:vAlign w:val="bottom"/>
                                </w:tcPr>
                                <w:p>
                                  <w:pPr>
                                    <w:pStyle w:val="TableContents"/>
                                    <w:bidi w:val="0"/>
                                    <w:spacing w:before="0" w:after="283"/>
                                    <w:jc w:val="center"/>
                                    <w:rPr>
                                      <w:b/>
                                    </w:rPr>
                                  </w:pPr>
                                  <w:r>
                                    <w:rPr>
                                      <w:b/>
                                    </w:rPr>
                                    <w:t>January – June</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1529" w:type="dxa"/>
                                  <w:gridSpan w:val="10"/>
                                  <w:tcBorders/>
                                  <w:vAlign w:val="bottom"/>
                                </w:tcPr>
                                <w:p>
                                  <w:pPr>
                                    <w:pStyle w:val="TableContents"/>
                                    <w:bidi w:val="0"/>
                                    <w:spacing w:before="0" w:after="283"/>
                                    <w:jc w:val="center"/>
                                    <w:rPr>
                                      <w:b/>
                                    </w:rPr>
                                  </w:pPr>
                                  <w:r>
                                    <w:rPr>
                                      <w:b/>
                                    </w:rPr>
                                    <w:t>Second Quarter</w:t>
                                  </w:r>
                                </w:p>
                              </w:tc>
                              <w:tc>
                                <w:tcPr>
                                  <w:tcW w:w="80"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 of US dollars</w:t>
                                  </w:r>
                                </w:p>
                              </w:tc>
                              <w:tc>
                                <w:tcPr>
                                  <w:tcW w:w="47" w:type="dxa"/>
                                  <w:tcBorders/>
                                  <w:vAlign w:val="bottom"/>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General and administrative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609,915</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596,906</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2%</w:t>
                                  </w:r>
                                </w:p>
                              </w:tc>
                              <w:tc>
                                <w:tcPr>
                                  <w:tcW w:w="74"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320,611</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303,327</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6%</w:t>
                                  </w:r>
                                </w:p>
                              </w:tc>
                              <w:tc>
                                <w:tcPr>
                                  <w:tcW w:w="80"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Selling expenses</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178,069</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182,086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(2%</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90,643</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94,596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(4%</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Distribution and logistics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879,688</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840,894</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5%</w:t>
                                  </w:r>
                                </w:p>
                              </w:tc>
                              <w:tc>
                                <w:tcPr>
                                  <w:tcW w:w="74"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457,129</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446,241</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2%</w:t>
                                  </w:r>
                                </w:p>
                              </w:tc>
                              <w:tc>
                                <w:tcPr>
                                  <w:tcW w:w="80"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Operating expenses before depreciation</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1,667,671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1,619,885</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3%</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868,384</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844,164</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3%</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Depreciation in operating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137,199</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117,548</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17%</w:t>
                                  </w:r>
                                </w:p>
                              </w:tc>
                              <w:tc>
                                <w:tcPr>
                                  <w:tcW w:w="74"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68,963</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59,508</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16%</w:t>
                                  </w:r>
                                </w:p>
                              </w:tc>
                              <w:tc>
                                <w:tcPr>
                                  <w:tcW w:w="80"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Operating expenses</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1,804,871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1,737,433</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4%</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937,347</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903,673</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4%</w:t>
                                  </w:r>
                                </w:p>
                              </w:tc>
                              <w:tc>
                                <w:tcPr>
                                  <w:tcW w:w="80"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r>
                            <w:tr>
                              <w:trPr>
                                <w:trHeight w:val="240" w:hRule="atLeast"/>
                              </w:trPr>
                              <w:tc>
                                <w:tcPr>
                                  <w:tcW w:w="1370" w:type="dxa"/>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572" w:type="dxa"/>
                                  <w:gridSpan w:val="4"/>
                                  <w:tcBorders/>
                                  <w:vAlign w:val="center"/>
                                </w:tcPr>
                                <w:p>
                                  <w:pPr>
                                    <w:pStyle w:val="TableContents"/>
                                    <w:bidi w:val="0"/>
                                    <w:spacing w:before="0" w:after="283"/>
                                    <w:jc w:val="left"/>
                                    <w:rPr>
                                      <w:sz w:val="4"/>
                                      <w:szCs w:val="4"/>
                                    </w:rPr>
                                  </w:pPr>
                                  <w:r>
                                    <w:rPr>
                                      <w:sz w:val="4"/>
                                      <w:szCs w:val="4"/>
                                    </w:rPr>
                                  </w:r>
                                </w:p>
                              </w:tc>
                              <w:tc>
                                <w:tcPr>
                                  <w:tcW w:w="572" w:type="dxa"/>
                                  <w:gridSpan w:val="4"/>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 % of Net Sales</w:t>
                                  </w:r>
                                </w:p>
                              </w:tc>
                              <w:tc>
                                <w:tcPr>
                                  <w:tcW w:w="47" w:type="dxa"/>
                                  <w:tcBorders/>
                                  <w:vAlign w:val="bottom"/>
                                </w:tcPr>
                                <w:p>
                                  <w:pPr>
                                    <w:pStyle w:val="TableContents"/>
                                    <w:bidi w:val="0"/>
                                    <w:spacing w:before="0" w:after="283"/>
                                    <w:jc w:val="left"/>
                                    <w:rPr/>
                                  </w:pPr>
                                  <w:r>
                                    <w:rPr/>
                                    <w:t> </w:t>
                                  </w:r>
                                </w:p>
                              </w:tc>
                              <w:tc>
                                <w:tcPr>
                                  <w:tcW w:w="608"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609"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General and administrative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7.1%</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7.7%</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7.0%</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7.4%</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SG&amp;A expenses</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9.1%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9.0%</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9.7%</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Equity-related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number of outstanding CPO-equivalents was 14,508,328,248. See Cemex’s reports furnished to or filed with the U.S. Securities and Exchange Commission for information, if any, regarding repurchases of securities and other developments that may have caused a change in the number of CPO-equivalents outstanding after December 31, 2025. For the three-month period ended March 31, 2026, 78,803,711 CPOs were repurchased by Cemex under its share repurchase program approved at Cemex, S.A.B. de C.V.’s ordinary annual shareholders meeting held on March 25, 2025. On March 26, 2026, Cemex, S.A.B. de C.V.’s ordinary annual shareholders meeting approved a new repurchase program that will be in effect until the next annual shareholders meeting to be held in 2027. No CPOs were repurchased by Cemex under such program from March 26, 2026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One Cemex ADS represents ten Cemex CPOs. One Cemex CPO represents two Series A shares and one Series B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report, outstanding CPO-equivalents equal the total number of Series A and B shares outstanding as if they were all held in CPO form, less CPOs held by Cemex and its subsidiaries, which as of December 31, 2025, were 20,541,277. Starting 2024, employees receive restricted ADRs instead of restricted CPOs. Restricted ADRs allocated to eligible employees as variable compensation are not included in the outstanding CPO-equivalents.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breakdown of operating expenses for the period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0"/>
                        <w:gridCol w:w="47"/>
                        <w:gridCol w:w="28"/>
                        <w:gridCol w:w="580"/>
                        <w:gridCol w:w="29"/>
                        <w:gridCol w:w="46"/>
                        <w:gridCol w:w="29"/>
                        <w:gridCol w:w="580"/>
                        <w:gridCol w:w="29"/>
                        <w:gridCol w:w="46"/>
                        <w:gridCol w:w="37"/>
                        <w:gridCol w:w="348"/>
                        <w:gridCol w:w="74"/>
                        <w:gridCol w:w="46"/>
                        <w:gridCol w:w="29"/>
                        <w:gridCol w:w="468"/>
                        <w:gridCol w:w="29"/>
                        <w:gridCol w:w="46"/>
                        <w:gridCol w:w="29"/>
                        <w:gridCol w:w="468"/>
                        <w:gridCol w:w="29"/>
                        <w:gridCol w:w="46"/>
                        <w:gridCol w:w="37"/>
                        <w:gridCol w:w="348"/>
                        <w:gridCol w:w="80"/>
                      </w:tblGrid>
                      <w:tr>
                        <w:trPr/>
                        <w:tc>
                          <w:tcPr>
                            <w:tcW w:w="1370" w:type="dxa"/>
                            <w:tcBorders/>
                            <w:vAlign w:val="center"/>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1752" w:type="dxa"/>
                            <w:gridSpan w:val="10"/>
                            <w:tcBorders/>
                            <w:vAlign w:val="bottom"/>
                          </w:tcPr>
                          <w:p>
                            <w:pPr>
                              <w:pStyle w:val="TableContents"/>
                              <w:bidi w:val="0"/>
                              <w:spacing w:before="0" w:after="283"/>
                              <w:jc w:val="center"/>
                              <w:rPr>
                                <w:b/>
                              </w:rPr>
                            </w:pPr>
                            <w:r>
                              <w:rPr>
                                <w:b/>
                              </w:rPr>
                              <w:t>January – June</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1529" w:type="dxa"/>
                            <w:gridSpan w:val="10"/>
                            <w:tcBorders/>
                            <w:vAlign w:val="bottom"/>
                          </w:tcPr>
                          <w:p>
                            <w:pPr>
                              <w:pStyle w:val="TableContents"/>
                              <w:bidi w:val="0"/>
                              <w:spacing w:before="0" w:after="283"/>
                              <w:jc w:val="center"/>
                              <w:rPr>
                                <w:b/>
                              </w:rPr>
                            </w:pPr>
                            <w:r>
                              <w:rPr>
                                <w:b/>
                              </w:rPr>
                              <w:t>Second Quarter</w:t>
                            </w:r>
                          </w:p>
                        </w:tc>
                        <w:tc>
                          <w:tcPr>
                            <w:tcW w:w="80"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 of US dollars</w:t>
                            </w:r>
                          </w:p>
                        </w:tc>
                        <w:tc>
                          <w:tcPr>
                            <w:tcW w:w="47" w:type="dxa"/>
                            <w:tcBorders/>
                            <w:vAlign w:val="bottom"/>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var</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General and administrative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609,915</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596,906</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2%</w:t>
                            </w:r>
                          </w:p>
                        </w:tc>
                        <w:tc>
                          <w:tcPr>
                            <w:tcW w:w="74"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320,611</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303,327</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6%</w:t>
                            </w:r>
                          </w:p>
                        </w:tc>
                        <w:tc>
                          <w:tcPr>
                            <w:tcW w:w="80"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Selling expenses</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178,069</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182,086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(2%</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90,643</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94,596</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(4%</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Distribution and logistics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879,688</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840,894</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5%</w:t>
                            </w:r>
                          </w:p>
                        </w:tc>
                        <w:tc>
                          <w:tcPr>
                            <w:tcW w:w="74"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457,129</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446,241</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2%</w:t>
                            </w:r>
                          </w:p>
                        </w:tc>
                        <w:tc>
                          <w:tcPr>
                            <w:tcW w:w="80"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Operating expenses before depreciation</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1,667,671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1,619,885</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3%</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868,384</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844,164</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3%</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Depreciation in operating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137,199</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117,548</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17%</w:t>
                            </w:r>
                          </w:p>
                        </w:tc>
                        <w:tc>
                          <w:tcPr>
                            <w:tcW w:w="74"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68,963</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59,508</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16%</w:t>
                            </w:r>
                          </w:p>
                        </w:tc>
                        <w:tc>
                          <w:tcPr>
                            <w:tcW w:w="80"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Operating expenses</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1,804,871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1,737,433</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4%</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937,347</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903,673</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4%</w:t>
                            </w:r>
                          </w:p>
                        </w:tc>
                        <w:tc>
                          <w:tcPr>
                            <w:tcW w:w="80"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80" w:type="dxa"/>
                            <w:tcBorders/>
                            <w:vAlign w:val="center"/>
                          </w:tcPr>
                          <w:p>
                            <w:pPr>
                              <w:pStyle w:val="TableContents"/>
                              <w:bidi w:val="0"/>
                              <w:spacing w:before="0" w:after="283"/>
                              <w:jc w:val="left"/>
                              <w:rPr/>
                            </w:pPr>
                            <w:r>
                              <w:rPr/>
                              <w:t> </w:t>
                            </w:r>
                          </w:p>
                        </w:tc>
                      </w:tr>
                      <w:tr>
                        <w:trPr>
                          <w:trHeight w:val="240" w:hRule="atLeast"/>
                        </w:trPr>
                        <w:tc>
                          <w:tcPr>
                            <w:tcW w:w="1370" w:type="dxa"/>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c>
                          <w:tcPr>
                            <w:tcW w:w="684" w:type="dxa"/>
                            <w:gridSpan w:val="4"/>
                            <w:tcBorders/>
                            <w:vAlign w:val="center"/>
                          </w:tcPr>
                          <w:p>
                            <w:pPr>
                              <w:pStyle w:val="TableContents"/>
                              <w:bidi w:val="0"/>
                              <w:spacing w:before="0" w:after="283"/>
                              <w:jc w:val="left"/>
                              <w:rPr>
                                <w:sz w:val="4"/>
                                <w:szCs w:val="4"/>
                              </w:rPr>
                            </w:pPr>
                            <w:r>
                              <w:rPr>
                                <w:sz w:val="4"/>
                                <w:szCs w:val="4"/>
                              </w:rPr>
                            </w:r>
                          </w:p>
                        </w:tc>
                        <w:tc>
                          <w:tcPr>
                            <w:tcW w:w="505" w:type="dxa"/>
                            <w:gridSpan w:val="4"/>
                            <w:tcBorders/>
                            <w:vAlign w:val="center"/>
                          </w:tcPr>
                          <w:p>
                            <w:pPr>
                              <w:pStyle w:val="TableContents"/>
                              <w:bidi w:val="0"/>
                              <w:spacing w:before="0" w:after="283"/>
                              <w:jc w:val="left"/>
                              <w:rPr>
                                <w:sz w:val="4"/>
                                <w:szCs w:val="4"/>
                              </w:rPr>
                            </w:pPr>
                            <w:r>
                              <w:rPr>
                                <w:sz w:val="4"/>
                                <w:szCs w:val="4"/>
                              </w:rPr>
                            </w:r>
                          </w:p>
                        </w:tc>
                        <w:tc>
                          <w:tcPr>
                            <w:tcW w:w="572" w:type="dxa"/>
                            <w:gridSpan w:val="4"/>
                            <w:tcBorders/>
                            <w:vAlign w:val="center"/>
                          </w:tcPr>
                          <w:p>
                            <w:pPr>
                              <w:pStyle w:val="TableContents"/>
                              <w:bidi w:val="0"/>
                              <w:spacing w:before="0" w:after="283"/>
                              <w:jc w:val="left"/>
                              <w:rPr>
                                <w:sz w:val="4"/>
                                <w:szCs w:val="4"/>
                              </w:rPr>
                            </w:pPr>
                            <w:r>
                              <w:rPr>
                                <w:sz w:val="4"/>
                                <w:szCs w:val="4"/>
                              </w:rPr>
                            </w:r>
                          </w:p>
                        </w:tc>
                        <w:tc>
                          <w:tcPr>
                            <w:tcW w:w="572" w:type="dxa"/>
                            <w:gridSpan w:val="4"/>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As % of Net Sales</w:t>
                            </w:r>
                          </w:p>
                        </w:tc>
                        <w:tc>
                          <w:tcPr>
                            <w:tcW w:w="47" w:type="dxa"/>
                            <w:tcBorders/>
                            <w:vAlign w:val="bottom"/>
                          </w:tcPr>
                          <w:p>
                            <w:pPr>
                              <w:pStyle w:val="TableContents"/>
                              <w:bidi w:val="0"/>
                              <w:spacing w:before="0" w:after="283"/>
                              <w:jc w:val="left"/>
                              <w:rPr/>
                            </w:pPr>
                            <w:r>
                              <w:rPr/>
                              <w:t> </w:t>
                            </w:r>
                          </w:p>
                        </w:tc>
                        <w:tc>
                          <w:tcPr>
                            <w:tcW w:w="608"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609"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497" w:type="dxa"/>
                            <w:gridSpan w:val="2"/>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8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General and administrative expenses</w:t>
                            </w:r>
                          </w:p>
                        </w:tc>
                        <w:tc>
                          <w:tcPr>
                            <w:tcW w:w="47" w:type="dxa"/>
                            <w:tcBorders/>
                            <w:shd w:fill="CCEEFF" w:val="clear"/>
                            <w:vAlign w:val="bottom"/>
                          </w:tcPr>
                          <w:p>
                            <w:pPr>
                              <w:pStyle w:val="TableContents"/>
                              <w:bidi w:val="0"/>
                              <w:spacing w:before="0" w:after="283"/>
                              <w:jc w:val="left"/>
                              <w:rPr/>
                            </w:pPr>
                            <w:r>
                              <w:rPr/>
                              <w:t> </w:t>
                            </w:r>
                          </w:p>
                        </w:tc>
                        <w:tc>
                          <w:tcPr>
                            <w:tcW w:w="28"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7.1%</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7.7%</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7.0%</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29"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right"/>
                              <w:rPr/>
                            </w:pPr>
                            <w:r>
                              <w:rPr/>
                              <w:t>7.4%</w:t>
                            </w:r>
                          </w:p>
                        </w:tc>
                        <w:tc>
                          <w:tcPr>
                            <w:tcW w:w="29" w:type="dxa"/>
                            <w:tcBorders/>
                            <w:shd w:fill="CCEEFF" w:val="clear"/>
                            <w:vAlign w:val="bottom"/>
                          </w:tcPr>
                          <w:p>
                            <w:pPr>
                              <w:pStyle w:val="TableContents"/>
                              <w:bidi w:val="0"/>
                              <w:spacing w:before="0" w:after="283"/>
                              <w:jc w:val="left"/>
                              <w:rPr/>
                            </w:pPr>
                            <w:r>
                              <w:rPr/>
                              <w:t> </w:t>
                            </w:r>
                          </w:p>
                        </w:tc>
                        <w:tc>
                          <w:tcPr>
                            <w:tcW w:w="46" w:type="dxa"/>
                            <w:tcBorders/>
                            <w:shd w:fill="CCEEFF" w:val="clear"/>
                            <w:vAlign w:val="bottom"/>
                          </w:tcPr>
                          <w:p>
                            <w:pPr>
                              <w:pStyle w:val="TableContents"/>
                              <w:bidi w:val="0"/>
                              <w:spacing w:before="0" w:after="283"/>
                              <w:jc w:val="left"/>
                              <w:rPr/>
                            </w:pPr>
                            <w:r>
                              <w:rPr/>
                              <w:t> </w:t>
                            </w:r>
                          </w:p>
                        </w:tc>
                        <w:tc>
                          <w:tcPr>
                            <w:tcW w:w="37"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17"/>
                              </w:rPr>
                            </w:pPr>
                            <w:r>
                              <w:rPr>
                                <w:rFonts w:ascii="Times New Roman" w:hAnsi="Times New Roman"/>
                                <w:sz w:val="17"/>
                              </w:rPr>
                              <w:t>SG&amp;A expenses</w:t>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9.1%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9.0%</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right"/>
                              <w:rPr/>
                            </w:pPr>
                            <w:r>
                              <w:rPr/>
                              <w:t>9.7%</w:t>
                            </w:r>
                          </w:p>
                        </w:tc>
                        <w:tc>
                          <w:tcPr>
                            <w:tcW w:w="29"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sz w:val="4"/>
                                <w:szCs w:val="4"/>
                              </w:rPr>
                            </w:pPr>
                            <w:r>
                              <w:rPr>
                                <w:sz w:val="4"/>
                                <w:szCs w:val="4"/>
                              </w:rPr>
                            </w:r>
                          </w:p>
                        </w:tc>
                        <w:tc>
                          <w:tcPr>
                            <w:tcW w:w="47" w:type="dxa"/>
                            <w:tcBorders/>
                            <w:vAlign w:val="bottom"/>
                          </w:tcPr>
                          <w:p>
                            <w:pPr>
                              <w:pStyle w:val="TableContents"/>
                              <w:bidi w:val="0"/>
                              <w:spacing w:before="0" w:after="283"/>
                              <w:jc w:val="left"/>
                              <w:rPr/>
                            </w:pPr>
                            <w:r>
                              <w:rPr/>
                              <w:t> </w:t>
                            </w:r>
                          </w:p>
                        </w:tc>
                        <w:tc>
                          <w:tcPr>
                            <w:tcW w:w="28"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9" w:type="dxa"/>
                            <w:tcBorders/>
                            <w:vAlign w:val="bottom"/>
                          </w:tcPr>
                          <w:p>
                            <w:pPr>
                              <w:pStyle w:val="TableContents"/>
                              <w:pBdr>
                                <w:top w:val="single" w:sz="2" w:space="1" w:color="000000"/>
                              </w:pBdr>
                              <w:bidi w:val="0"/>
                              <w:spacing w:before="0" w:after="0"/>
                              <w:jc w:val="left"/>
                              <w:rPr/>
                            </w:pPr>
                            <w:r>
                              <w:rPr/>
                              <w:t> </w:t>
                            </w:r>
                          </w:p>
                        </w:tc>
                        <w:tc>
                          <w:tcPr>
                            <w:tcW w:w="468"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3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Equity-related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number of outstanding CPO-equivalents was 14,508,328,248. See Cemex’s reports furnished to or filed with the U.S. Securities and Exchange Commission for information, if any, regarding repurchases of securities and other developments that may have caused a change in the number of CPO-equivalents outstanding after December 31, 2025. For the three-month period ended March 31, 2026, 78,803,711 CPOs were repurchased by Cemex under its share repurchase program approved at Cemex, S.A.B. de C.V.’s ordinary annual shareholders meeting held on March 25, 2025. On March 26, 2026, Cemex, S.A.B. de C.V.’s ordinary annual shareholders meeting approved a new repurchase program that will be in effect until the next annual shareholders meeting to be held in 2027. No CPOs were repurchased by Cemex under such program from March 26, 2026 to June 30, 2026. </w:t>
                      </w:r>
                    </w:p>
                    <w:p>
                      <w:pPr>
                        <w:pStyle w:val="TextBody"/>
                        <w:bidi w:val="0"/>
                        <w:spacing w:before="240" w:after="0"/>
                        <w:jc w:val="left"/>
                        <w:rPr>
                          <w:rFonts w:ascii="Times New Roman" w:hAnsi="Times New Roman"/>
                          <w:sz w:val="20"/>
                        </w:rPr>
                      </w:pPr>
                      <w:r>
                        <w:rPr>
                          <w:rFonts w:ascii="Times New Roman" w:hAnsi="Times New Roman"/>
                          <w:sz w:val="20"/>
                        </w:rPr>
                        <w:t xml:space="preserve">One Cemex ADS represents ten Cemex CPOs. One Cemex CPO represents two Series A shares and one Series B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report, outstanding CPO-equivalents equal the total number of Series A and B shares outstanding as if they were all held in CPO form, less CPOs held by Cemex and its subsidiaries, which as of December 31, 2025, were 20,541,277. Starting 2024, employees receive restricted ADRs instead of restricted CPOs. Restricted ADRs allocated to eligible employees as variable compensation are not included in the outstanding CPO-equivalents. </w:t>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3175000" cy="9972040"/>
                <wp:effectExtent l="0" t="0" r="0" b="0"/>
                <wp:wrapSquare wrapText="right"/>
                <wp:docPr id="19"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Derivative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notional amount for each type of derivative instrument and the aggregate fair market value for all of Cemex’s derivative instruments as of the last day of each quarter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9"/>
                              <w:gridCol w:w="51"/>
                              <w:gridCol w:w="42"/>
                              <w:gridCol w:w="429"/>
                              <w:gridCol w:w="29"/>
                              <w:gridCol w:w="51"/>
                              <w:gridCol w:w="42"/>
                              <w:gridCol w:w="234"/>
                              <w:gridCol w:w="77"/>
                              <w:gridCol w:w="51"/>
                              <w:gridCol w:w="42"/>
                              <w:gridCol w:w="429"/>
                              <w:gridCol w:w="29"/>
                              <w:gridCol w:w="51"/>
                              <w:gridCol w:w="42"/>
                              <w:gridCol w:w="234"/>
                              <w:gridCol w:w="77"/>
                              <w:gridCol w:w="51"/>
                              <w:gridCol w:w="42"/>
                              <w:gridCol w:w="429"/>
                              <w:gridCol w:w="29"/>
                              <w:gridCol w:w="51"/>
                              <w:gridCol w:w="42"/>
                              <w:gridCol w:w="234"/>
                              <w:gridCol w:w="83"/>
                            </w:tblGrid>
                            <w:tr>
                              <w:trPr/>
                              <w:tc>
                                <w:tcPr>
                                  <w:tcW w:w="21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1782" w:type="dxa"/>
                                  <w:gridSpan w:val="14"/>
                                  <w:tcBorders/>
                                  <w:vAlign w:val="bottom"/>
                                </w:tcPr>
                                <w:p>
                                  <w:pPr>
                                    <w:pStyle w:val="TableContents"/>
                                    <w:bidi w:val="0"/>
                                    <w:spacing w:before="0" w:after="283"/>
                                    <w:jc w:val="center"/>
                                    <w:rPr>
                                      <w:b/>
                                    </w:rPr>
                                  </w:pPr>
                                  <w:r>
                                    <w:rPr>
                                      <w:b/>
                                    </w:rPr>
                                    <w:t>Second Quarter</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vAlign w:val="bottom"/>
                                </w:tcPr>
                                <w:p>
                                  <w:pPr>
                                    <w:pStyle w:val="TableContents"/>
                                    <w:bidi w:val="0"/>
                                    <w:spacing w:before="0" w:after="283"/>
                                    <w:jc w:val="center"/>
                                    <w:rPr>
                                      <w:b/>
                                    </w:rPr>
                                  </w:pPr>
                                  <w:r>
                                    <w:rPr>
                                      <w:b/>
                                    </w:rPr>
                                    <w:t>First Quarter</w:t>
                                  </w:r>
                                </w:p>
                              </w:tc>
                              <w:tc>
                                <w:tcPr>
                                  <w:tcW w:w="8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pPr>
                                  <w:r>
                                    <w:rPr/>
                                    <w:t>In millions of US dollars</w:t>
                                  </w:r>
                                </w:p>
                              </w:tc>
                              <w:tc>
                                <w:tcPr>
                                  <w:tcW w:w="51"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center"/>
                                    <w:rPr>
                                      <w:b/>
                                    </w:rPr>
                                  </w:pPr>
                                  <w:r>
                                    <w:rPr>
                                      <w:b/>
                                    </w:rPr>
                                    <w:t>Fair</w:t>
                                    <w:br/>
                                    <w:t>value</w:t>
                                  </w:r>
                                </w:p>
                              </w:tc>
                              <w:tc>
                                <w:tcPr>
                                  <w:tcW w:w="8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Exchange rate derivatives (1)</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1,225</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(80</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1,506</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(35</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1,318</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(59</w:t>
                                  </w:r>
                                </w:p>
                              </w:tc>
                              <w:tc>
                                <w:tcPr>
                                  <w:tcW w:w="8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0"/>
                                    <w:jc w:val="left"/>
                                    <w:rPr>
                                      <w:rFonts w:ascii="Times New Roman" w:hAnsi="Times New Roman"/>
                                      <w:sz w:val="18"/>
                                    </w:rPr>
                                  </w:pPr>
                                  <w:r>
                                    <w:rPr>
                                      <w:rFonts w:ascii="Times New Roman" w:hAnsi="Times New Roman"/>
                                      <w:sz w:val="18"/>
                                    </w:rPr>
                                    <w:t>Interest rate swaps (2)</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1,733</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7</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1,505</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(44</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2,332</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(8</w:t>
                                  </w:r>
                                </w:p>
                              </w:tc>
                              <w:tc>
                                <w:tcPr>
                                  <w:tcW w:w="8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Fuel derivatives (3)</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264</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31</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298</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6</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183</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64</w:t>
                                  </w:r>
                                </w:p>
                              </w:tc>
                              <w:tc>
                                <w:tcPr>
                                  <w:tcW w:w="83" w:type="dxa"/>
                                  <w:tcBorders/>
                                  <w:shd w:fill="CCEEFF" w:val="clear"/>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3,222</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(42</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3,309</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(73</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3,833</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(3</w:t>
                                  </w:r>
                                </w:p>
                              </w:tc>
                              <w:tc>
                                <w:tcPr>
                                  <w:tcW w:w="8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6"/>
                              <w:gridCol w:w="4804"/>
                            </w:tblGrid>
                            <w:tr>
                              <w:trPr/>
                              <w:tc>
                                <w:tcPr>
                                  <w:tcW w:w="196" w:type="dxa"/>
                                  <w:tcBorders/>
                                </w:tcPr>
                                <w:p>
                                  <w:pPr>
                                    <w:pStyle w:val="TableContents"/>
                                    <w:bidi w:val="0"/>
                                    <w:spacing w:before="0" w:after="283"/>
                                    <w:jc w:val="left"/>
                                    <w:rPr>
                                      <w:i/>
                                    </w:rPr>
                                  </w:pPr>
                                  <w:r>
                                    <w:rPr>
                                      <w:i/>
                                    </w:rPr>
                                    <w:t>1)</w:t>
                                  </w:r>
                                </w:p>
                              </w:tc>
                              <w:tc>
                                <w:tcPr>
                                  <w:tcW w:w="4804"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The exchange rate derivatives are used to manage currency exposures arising from net investments in foreign operations. </w:t>
                                  </w:r>
                                </w:p>
                              </w:tc>
                            </w:tr>
                          </w:tbl>
                          <w:tbl>
                            <w:tblPr>
                              <w:tblW w:w="5000" w:type="pct"/>
                              <w:jc w:val="left"/>
                              <w:tblInd w:w="0" w:type="dxa"/>
                              <w:tblLayout w:type="fixed"/>
                              <w:tblCellMar>
                                <w:top w:w="0" w:type="dxa"/>
                                <w:left w:w="0" w:type="dxa"/>
                                <w:bottom w:w="0" w:type="dxa"/>
                                <w:right w:w="0" w:type="dxa"/>
                              </w:tblCellMar>
                            </w:tblPr>
                            <w:tblGrid>
                              <w:gridCol w:w="186"/>
                              <w:gridCol w:w="4814"/>
                            </w:tblGrid>
                            <w:tr>
                              <w:trPr/>
                              <w:tc>
                                <w:tcPr>
                                  <w:tcW w:w="186" w:type="dxa"/>
                                  <w:tcBorders/>
                                </w:tcPr>
                                <w:p>
                                  <w:pPr>
                                    <w:pStyle w:val="TableContents"/>
                                    <w:bidi w:val="0"/>
                                    <w:spacing w:before="0" w:after="283"/>
                                    <w:jc w:val="left"/>
                                    <w:rPr>
                                      <w:i/>
                                    </w:rPr>
                                  </w:pPr>
                                  <w:r>
                                    <w:rPr>
                                      <w:i/>
                                    </w:rPr>
                                    <w:t>2)</w:t>
                                  </w:r>
                                </w:p>
                              </w:tc>
                              <w:tc>
                                <w:tcPr>
                                  <w:tcW w:w="4814"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As of June 30, 2026, these instruments are associated with bank loans, including interest rate and exchange rate swap derivatives. </w:t>
                                  </w:r>
                                </w:p>
                              </w:tc>
                            </w:tr>
                          </w:tbl>
                          <w:tbl>
                            <w:tblPr>
                              <w:tblW w:w="5000" w:type="pct"/>
                              <w:jc w:val="left"/>
                              <w:tblInd w:w="0" w:type="dxa"/>
                              <w:tblLayout w:type="fixed"/>
                              <w:tblCellMar>
                                <w:top w:w="0" w:type="dxa"/>
                                <w:left w:w="0" w:type="dxa"/>
                                <w:bottom w:w="0" w:type="dxa"/>
                                <w:right w:w="0" w:type="dxa"/>
                              </w:tblCellMar>
                            </w:tblPr>
                            <w:tblGrid>
                              <w:gridCol w:w="101"/>
                              <w:gridCol w:w="4899"/>
                            </w:tblGrid>
                            <w:tr>
                              <w:trPr/>
                              <w:tc>
                                <w:tcPr>
                                  <w:tcW w:w="101" w:type="dxa"/>
                                  <w:tcBorders/>
                                </w:tcPr>
                                <w:p>
                                  <w:pPr>
                                    <w:pStyle w:val="TableContents"/>
                                    <w:bidi w:val="0"/>
                                    <w:spacing w:before="0" w:after="283"/>
                                    <w:jc w:val="left"/>
                                    <w:rPr>
                                      <w:i/>
                                    </w:rPr>
                                  </w:pPr>
                                  <w:r>
                                    <w:rPr>
                                      <w:i/>
                                    </w:rPr>
                                    <w:t>3)</w:t>
                                  </w:r>
                                </w:p>
                              </w:tc>
                              <w:tc>
                                <w:tcPr>
                                  <w:tcW w:w="48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Cemex’s derivative financial instruments portfolio includes swaps and financial options. These derivative instruments are mainly used to hedge the market price risk of certain fuels associated with certain Cemex operations, such as transportation and production. In addition, there are call spreads on Brent oil and derivatives thereof, designed to mitigate the exposure related to the implicit cost of fuel in distribution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IFRS, companies are required to recognize the fair value of all derivative financial instruments on the balance sheet as financial assets or liabilities, with changes in such fair market values recorded in the income statement, except when transactions are entered into for hedging purposes. In cash-flow hedging cases, changes in the fair market value of the related derivative instruments are recognized temporarily in equity and subsequently reclassified into earnings as the effects of the underlying are recognized in the income statement. Moreover, in transactions related to net investment hedges, changes in fair market value are recorded directly in equity as part of the currency translation effect and are reclassified to the income statement only in the case of disposal of the net investment. As of June 30, 2026, in connection with the derivatives portfolio’s fair market value, Cemex recognized changes in fair market value resulting in a financial liability of US$42 million.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Derivative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notional amount for each type of derivative instrument and the aggregate fair market value for all of Cemex’s derivative instruments as of the last day of each quarter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29"/>
                        <w:gridCol w:w="51"/>
                        <w:gridCol w:w="42"/>
                        <w:gridCol w:w="429"/>
                        <w:gridCol w:w="29"/>
                        <w:gridCol w:w="51"/>
                        <w:gridCol w:w="42"/>
                        <w:gridCol w:w="234"/>
                        <w:gridCol w:w="77"/>
                        <w:gridCol w:w="51"/>
                        <w:gridCol w:w="42"/>
                        <w:gridCol w:w="429"/>
                        <w:gridCol w:w="29"/>
                        <w:gridCol w:w="51"/>
                        <w:gridCol w:w="42"/>
                        <w:gridCol w:w="234"/>
                        <w:gridCol w:w="77"/>
                        <w:gridCol w:w="51"/>
                        <w:gridCol w:w="42"/>
                        <w:gridCol w:w="429"/>
                        <w:gridCol w:w="29"/>
                        <w:gridCol w:w="51"/>
                        <w:gridCol w:w="42"/>
                        <w:gridCol w:w="234"/>
                        <w:gridCol w:w="83"/>
                      </w:tblGrid>
                      <w:tr>
                        <w:trPr/>
                        <w:tc>
                          <w:tcPr>
                            <w:tcW w:w="21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1782" w:type="dxa"/>
                            <w:gridSpan w:val="14"/>
                            <w:tcBorders/>
                            <w:vAlign w:val="bottom"/>
                          </w:tcPr>
                          <w:p>
                            <w:pPr>
                              <w:pStyle w:val="TableContents"/>
                              <w:bidi w:val="0"/>
                              <w:spacing w:before="0" w:after="283"/>
                              <w:jc w:val="center"/>
                              <w:rPr>
                                <w:b/>
                              </w:rPr>
                            </w:pPr>
                            <w:r>
                              <w:rPr>
                                <w:b/>
                              </w:rPr>
                              <w:t>Second Quarter</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vAlign w:val="bottom"/>
                          </w:tcPr>
                          <w:p>
                            <w:pPr>
                              <w:pStyle w:val="TableContents"/>
                              <w:bidi w:val="0"/>
                              <w:spacing w:before="0" w:after="283"/>
                              <w:jc w:val="center"/>
                              <w:rPr>
                                <w:b/>
                              </w:rPr>
                            </w:pPr>
                            <w:r>
                              <w:rPr>
                                <w:b/>
                              </w:rPr>
                              <w:t>First Quarter</w:t>
                            </w:r>
                          </w:p>
                        </w:tc>
                        <w:tc>
                          <w:tcPr>
                            <w:tcW w:w="8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8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pPr>
                            <w:r>
                              <w:rPr/>
                              <w:t>In millions of US dollars</w:t>
                            </w:r>
                          </w:p>
                        </w:tc>
                        <w:tc>
                          <w:tcPr>
                            <w:tcW w:w="51"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center"/>
                              <w:rPr>
                                <w:b/>
                              </w:rPr>
                            </w:pPr>
                            <w:r>
                              <w:rPr>
                                <w:b/>
                              </w:rPr>
                              <w:t>Fair</w:t>
                              <w:br/>
                              <w:t>value</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71" w:type="dxa"/>
                            <w:gridSpan w:val="2"/>
                            <w:tcBorders/>
                            <w:vAlign w:val="bottom"/>
                          </w:tcPr>
                          <w:p>
                            <w:pPr>
                              <w:pStyle w:val="TableContents"/>
                              <w:bidi w:val="0"/>
                              <w:spacing w:before="0" w:after="283"/>
                              <w:jc w:val="center"/>
                              <w:rPr>
                                <w:b/>
                              </w:rPr>
                            </w:pPr>
                            <w:r>
                              <w:rPr>
                                <w:b/>
                              </w:rPr>
                              <w:t>Notional</w:t>
                              <w:br/>
                              <w:t>amount</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center"/>
                              <w:rPr>
                                <w:b/>
                              </w:rPr>
                            </w:pPr>
                            <w:r>
                              <w:rPr>
                                <w:b/>
                              </w:rPr>
                              <w:t>Fair</w:t>
                              <w:br/>
                              <w:t>value</w:t>
                            </w:r>
                          </w:p>
                        </w:tc>
                        <w:tc>
                          <w:tcPr>
                            <w:tcW w:w="8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Exchange rate derivatives (1)</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1,225</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(80</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1,506</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(35</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1,318</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(59</w:t>
                            </w:r>
                          </w:p>
                        </w:tc>
                        <w:tc>
                          <w:tcPr>
                            <w:tcW w:w="83" w:type="dxa"/>
                            <w:tcBorders/>
                            <w:shd w:fill="CCEEFF" w:val="clear"/>
                            <w:vAlign w:val="bottom"/>
                          </w:tcPr>
                          <w:p>
                            <w:pPr>
                              <w:pStyle w:val="TableContents"/>
                              <w:bidi w:val="0"/>
                              <w:spacing w:before="0" w:after="283"/>
                              <w:jc w:val="left"/>
                              <w:rPr/>
                            </w:pPr>
                            <w:r>
                              <w:rPr/>
                              <w:t>) </w:t>
                            </w:r>
                          </w:p>
                        </w:tc>
                      </w:tr>
                      <w:tr>
                        <w:trPr/>
                        <w:tc>
                          <w:tcPr>
                            <w:tcW w:w="2129" w:type="dxa"/>
                            <w:tcBorders/>
                          </w:tcPr>
                          <w:p>
                            <w:pPr>
                              <w:pStyle w:val="TableContents"/>
                              <w:bidi w:val="0"/>
                              <w:spacing w:before="0" w:after="0"/>
                              <w:jc w:val="left"/>
                              <w:rPr>
                                <w:rFonts w:ascii="Times New Roman" w:hAnsi="Times New Roman"/>
                                <w:sz w:val="18"/>
                              </w:rPr>
                            </w:pPr>
                            <w:r>
                              <w:rPr>
                                <w:rFonts w:ascii="Times New Roman" w:hAnsi="Times New Roman"/>
                                <w:sz w:val="18"/>
                              </w:rPr>
                              <w:t>Interest rate swaps (2)</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1,733</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7</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1,505</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(44</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2,332</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(8</w:t>
                            </w:r>
                          </w:p>
                        </w:tc>
                        <w:tc>
                          <w:tcPr>
                            <w:tcW w:w="83" w:type="dxa"/>
                            <w:tcBorders/>
                            <w:vAlign w:val="bottom"/>
                          </w:tcPr>
                          <w:p>
                            <w:pPr>
                              <w:pStyle w:val="TableContents"/>
                              <w:bidi w:val="0"/>
                              <w:spacing w:before="0" w:after="283"/>
                              <w:jc w:val="left"/>
                              <w:rPr/>
                            </w:pPr>
                            <w:r>
                              <w:rPr/>
                              <w:t>) </w:t>
                            </w:r>
                          </w:p>
                        </w:tc>
                      </w:tr>
                      <w:tr>
                        <w:trPr/>
                        <w:tc>
                          <w:tcPr>
                            <w:tcW w:w="21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Fuel derivatives (3)</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264</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31</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298</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6</w:t>
                            </w:r>
                          </w:p>
                        </w:tc>
                        <w:tc>
                          <w:tcPr>
                            <w:tcW w:w="77"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right"/>
                              <w:rPr/>
                            </w:pPr>
                            <w:r>
                              <w:rPr/>
                              <w:t>183</w:t>
                            </w:r>
                          </w:p>
                        </w:tc>
                        <w:tc>
                          <w:tcPr>
                            <w:tcW w:w="29" w:type="dxa"/>
                            <w:tcBorders/>
                            <w:shd w:fill="CCEEFF" w:val="clear"/>
                            <w:vAlign w:val="bottom"/>
                          </w:tcPr>
                          <w:p>
                            <w:pPr>
                              <w:pStyle w:val="TableContents"/>
                              <w:bidi w:val="0"/>
                              <w:spacing w:before="0" w:after="283"/>
                              <w:jc w:val="left"/>
                              <w:rPr/>
                            </w:pPr>
                            <w:r>
                              <w:rPr/>
                              <w:t> </w:t>
                            </w:r>
                          </w:p>
                        </w:tc>
                        <w:tc>
                          <w:tcPr>
                            <w:tcW w:w="51" w:type="dxa"/>
                            <w:tcBorders/>
                            <w:shd w:fill="CCEEFF" w:val="clear"/>
                            <w:vAlign w:val="bottom"/>
                          </w:tcPr>
                          <w:p>
                            <w:pPr>
                              <w:pStyle w:val="TableContents"/>
                              <w:bidi w:val="0"/>
                              <w:spacing w:before="0" w:after="283"/>
                              <w:jc w:val="left"/>
                              <w:rPr/>
                            </w:pPr>
                            <w:r>
                              <w:rPr/>
                              <w:t> </w:t>
                            </w:r>
                          </w:p>
                        </w:tc>
                        <w:tc>
                          <w:tcPr>
                            <w:tcW w:w="42"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right"/>
                              <w:rPr/>
                            </w:pPr>
                            <w:r>
                              <w:rPr/>
                              <w:t>64</w:t>
                            </w:r>
                          </w:p>
                        </w:tc>
                        <w:tc>
                          <w:tcPr>
                            <w:tcW w:w="83" w:type="dxa"/>
                            <w:tcBorders/>
                            <w:shd w:fill="CCEEFF" w:val="clear"/>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r>
                      <w:tr>
                        <w:trPr/>
                        <w:tc>
                          <w:tcPr>
                            <w:tcW w:w="2129" w:type="dxa"/>
                            <w:tcBorders/>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3,222</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(42</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3,309</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(73</w:t>
                            </w:r>
                          </w:p>
                        </w:tc>
                        <w:tc>
                          <w:tcPr>
                            <w:tcW w:w="77"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3,833</w:t>
                            </w:r>
                          </w:p>
                        </w:tc>
                        <w:tc>
                          <w:tcPr>
                            <w:tcW w:w="29" w:type="dxa"/>
                            <w:tcBorders/>
                            <w:vAlign w:val="bottom"/>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(3</w:t>
                            </w:r>
                          </w:p>
                        </w:tc>
                        <w:tc>
                          <w:tcPr>
                            <w:tcW w:w="83" w:type="dxa"/>
                            <w:tcBorders/>
                            <w:vAlign w:val="bottom"/>
                          </w:tcPr>
                          <w:p>
                            <w:pPr>
                              <w:pStyle w:val="TableContents"/>
                              <w:bidi w:val="0"/>
                              <w:spacing w:before="0" w:after="283"/>
                              <w:jc w:val="left"/>
                              <w:rPr/>
                            </w:pPr>
                            <w:r>
                              <w:rPr/>
                              <w:t>) </w:t>
                            </w:r>
                          </w:p>
                        </w:tc>
                      </w:tr>
                      <w:tr>
                        <w:trPr/>
                        <w:tc>
                          <w:tcPr>
                            <w:tcW w:w="2129" w:type="dxa"/>
                            <w:tcBorders/>
                            <w:vAlign w:val="bottom"/>
                          </w:tcPr>
                          <w:p>
                            <w:pPr>
                              <w:pStyle w:val="TableContents"/>
                              <w:bidi w:val="0"/>
                              <w:spacing w:before="0" w:after="283"/>
                              <w:jc w:val="left"/>
                              <w:rPr>
                                <w:sz w:val="4"/>
                                <w:szCs w:val="4"/>
                              </w:rPr>
                            </w:pPr>
                            <w:r>
                              <w:rPr>
                                <w:sz w:val="4"/>
                                <w:szCs w:val="4"/>
                              </w:rPr>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429" w:type="dxa"/>
                            <w:tcBorders/>
                            <w:vAlign w:val="bottom"/>
                          </w:tcPr>
                          <w:p>
                            <w:pPr>
                              <w:pStyle w:val="TableContents"/>
                              <w:pBdr>
                                <w:top w:val="single" w:sz="2" w:space="1" w:color="000000"/>
                              </w:pBdr>
                              <w:bidi w:val="0"/>
                              <w:spacing w:before="0" w:after="0"/>
                              <w:jc w:val="left"/>
                              <w:rPr/>
                            </w:pPr>
                            <w:r>
                              <w:rPr/>
                              <w:t> </w:t>
                            </w:r>
                          </w:p>
                        </w:tc>
                        <w:tc>
                          <w:tcPr>
                            <w:tcW w:w="29" w:type="dxa"/>
                            <w:tcBorders/>
                            <w:vAlign w:val="center"/>
                          </w:tcPr>
                          <w:p>
                            <w:pPr>
                              <w:pStyle w:val="TableContents"/>
                              <w:bidi w:val="0"/>
                              <w:spacing w:before="0" w:after="283"/>
                              <w:jc w:val="left"/>
                              <w:rPr/>
                            </w:pPr>
                            <w:r>
                              <w:rPr/>
                              <w:t> </w:t>
                            </w:r>
                          </w:p>
                        </w:tc>
                        <w:tc>
                          <w:tcPr>
                            <w:tcW w:w="51" w:type="dxa"/>
                            <w:tcBorders/>
                            <w:vAlign w:val="bottom"/>
                          </w:tcPr>
                          <w:p>
                            <w:pPr>
                              <w:pStyle w:val="TableContents"/>
                              <w:bidi w:val="0"/>
                              <w:spacing w:before="0" w:after="283"/>
                              <w:jc w:val="left"/>
                              <w:rPr/>
                            </w:pPr>
                            <w:r>
                              <w:rPr/>
                              <w:t> </w:t>
                            </w:r>
                          </w:p>
                        </w:tc>
                        <w:tc>
                          <w:tcPr>
                            <w:tcW w:w="42" w:type="dxa"/>
                            <w:tcBorders/>
                            <w:vAlign w:val="bottom"/>
                          </w:tcPr>
                          <w:p>
                            <w:pPr>
                              <w:pStyle w:val="TableContents"/>
                              <w:pBdr>
                                <w:top w:val="single" w:sz="2" w:space="1" w:color="000000"/>
                              </w:pBdr>
                              <w:bidi w:val="0"/>
                              <w:spacing w:before="0" w:after="0"/>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6"/>
                        <w:gridCol w:w="4804"/>
                      </w:tblGrid>
                      <w:tr>
                        <w:trPr/>
                        <w:tc>
                          <w:tcPr>
                            <w:tcW w:w="196" w:type="dxa"/>
                            <w:tcBorders/>
                          </w:tcPr>
                          <w:p>
                            <w:pPr>
                              <w:pStyle w:val="TableContents"/>
                              <w:bidi w:val="0"/>
                              <w:spacing w:before="0" w:after="283"/>
                              <w:jc w:val="left"/>
                              <w:rPr>
                                <w:i/>
                              </w:rPr>
                            </w:pPr>
                            <w:r>
                              <w:rPr>
                                <w:i/>
                              </w:rPr>
                              <w:t>1)</w:t>
                            </w:r>
                          </w:p>
                        </w:tc>
                        <w:tc>
                          <w:tcPr>
                            <w:tcW w:w="4804"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The exchange rate derivatives are used to manage currency exposures arising from net investments in foreign operations. </w:t>
                            </w:r>
                          </w:p>
                        </w:tc>
                      </w:tr>
                    </w:tbl>
                    <w:tbl>
                      <w:tblPr>
                        <w:tblW w:w="5000" w:type="pct"/>
                        <w:jc w:val="left"/>
                        <w:tblInd w:w="0" w:type="dxa"/>
                        <w:tblLayout w:type="fixed"/>
                        <w:tblCellMar>
                          <w:top w:w="0" w:type="dxa"/>
                          <w:left w:w="0" w:type="dxa"/>
                          <w:bottom w:w="0" w:type="dxa"/>
                          <w:right w:w="0" w:type="dxa"/>
                        </w:tblCellMar>
                      </w:tblPr>
                      <w:tblGrid>
                        <w:gridCol w:w="186"/>
                        <w:gridCol w:w="4814"/>
                      </w:tblGrid>
                      <w:tr>
                        <w:trPr/>
                        <w:tc>
                          <w:tcPr>
                            <w:tcW w:w="186" w:type="dxa"/>
                            <w:tcBorders/>
                          </w:tcPr>
                          <w:p>
                            <w:pPr>
                              <w:pStyle w:val="TableContents"/>
                              <w:bidi w:val="0"/>
                              <w:spacing w:before="0" w:after="283"/>
                              <w:jc w:val="left"/>
                              <w:rPr>
                                <w:i/>
                              </w:rPr>
                            </w:pPr>
                            <w:r>
                              <w:rPr>
                                <w:i/>
                              </w:rPr>
                              <w:t>2)</w:t>
                            </w:r>
                          </w:p>
                        </w:tc>
                        <w:tc>
                          <w:tcPr>
                            <w:tcW w:w="4814"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As of June 30, 2026, these instruments are associated with bank loans, including interest rate and exchange rate swap derivatives. </w:t>
                            </w:r>
                          </w:p>
                        </w:tc>
                      </w:tr>
                    </w:tbl>
                    <w:tbl>
                      <w:tblPr>
                        <w:tblW w:w="5000" w:type="pct"/>
                        <w:jc w:val="left"/>
                        <w:tblInd w:w="0" w:type="dxa"/>
                        <w:tblLayout w:type="fixed"/>
                        <w:tblCellMar>
                          <w:top w:w="0" w:type="dxa"/>
                          <w:left w:w="0" w:type="dxa"/>
                          <w:bottom w:w="0" w:type="dxa"/>
                          <w:right w:w="0" w:type="dxa"/>
                        </w:tblCellMar>
                      </w:tblPr>
                      <w:tblGrid>
                        <w:gridCol w:w="101"/>
                        <w:gridCol w:w="4899"/>
                      </w:tblGrid>
                      <w:tr>
                        <w:trPr/>
                        <w:tc>
                          <w:tcPr>
                            <w:tcW w:w="101" w:type="dxa"/>
                            <w:tcBorders/>
                          </w:tcPr>
                          <w:p>
                            <w:pPr>
                              <w:pStyle w:val="TableContents"/>
                              <w:bidi w:val="0"/>
                              <w:spacing w:before="0" w:after="283"/>
                              <w:jc w:val="left"/>
                              <w:rPr>
                                <w:i/>
                              </w:rPr>
                            </w:pPr>
                            <w:r>
                              <w:rPr>
                                <w:i/>
                              </w:rPr>
                              <w:t>3)</w:t>
                            </w:r>
                          </w:p>
                        </w:tc>
                        <w:tc>
                          <w:tcPr>
                            <w:tcW w:w="48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Cemex’s derivative financial instruments portfolio includes swaps and financial options. These derivative instruments are mainly used to hedge the market price risk of certain fuels associated with certain Cemex operations, such as transportation and production. In addition, there are call spreads on Brent oil and derivatives thereof, designed to mitigate the exposure related to the implicit cost of fuel in distribution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IFRS, companies are required to recognize the fair value of all derivative financial instruments on the balance sheet as financial assets or liabilities, with changes in such fair market values recorded in the income statement, except when transactions are entered into for hedging purposes. In cash-flow hedging cases, changes in the fair market value of the related derivative instruments are recognized temporarily in equity and subsequently reclassified into earnings as the effects of the underlying are recognized in the income statement. Moreover, in transactions related to net investment hedges, changes in fair market value are recorded directly in equity as part of the currency translation effect and are reclassified to the income statement only in the case of disposal of the net investment. As of June 30, 2026, in connection with the derivatives portfolio’s fair market value, Cemex recognized changes in fair market value resulting in a financial liability of US$42 million.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13</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Definitions of terms and disclosures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10230" cy="9972040"/>
                <wp:effectExtent l="0" t="0" r="0" b="0"/>
                <wp:wrapSquare wrapText="right"/>
                <wp:docPr id="21" name="Frame5"/>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2025, Cemex concluded the sale of substantially all its operations and the majority of its assets in Panama to Grupo Estrella, primarily comprising one cement plant and related cement assets, ready-mix concrete, and aggregates, for a total consideration of US$200 million. Cemex retained its admixtures business in Panama. The sale resulted in a loss on disposal of US$63 million and a goodwill write-off of US$24 million. For the six-month period ended June 30, 2025, Cemex’s operations in Panama are reported in Cemex’s income statements, net of income tax, in the single line item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2025, Cemex completed the sale of its operations in the Dominican Republic to Cementos Progreso Holdings, S.L., and its strategic partners for a total consideration of US$928 million, after adjustments for final cash, debt, and working capital balances. The divested assets consisted of one cement plant in the Dominican Republic with two integrated production lines, along with related cement, ready-mix concrete, aggregates, and marine terminal assets. For the six-month period ended June 30, 2025, Cemex’s operations in the Dominican Republic are reported in Cemex’s income statements, net of income tax, in the single line item “Discontinued operations,” including a gain on sale of US$551 million, net of the reclassification of foreign currency translation effects accrued in equity until the date of sale and goodwill write off of US$13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income statements for the six-month period ended June 30, 2025. It includes Cemex’s discontinued operations related to Panama and the Dominican Republic.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4"/>
                              <w:gridCol w:w="186"/>
                              <w:gridCol w:w="32"/>
                              <w:gridCol w:w="219"/>
                              <w:gridCol w:w="28"/>
                              <w:gridCol w:w="186"/>
                              <w:gridCol w:w="33"/>
                              <w:gridCol w:w="218"/>
                              <w:gridCol w:w="75"/>
                              <w:gridCol w:w="133"/>
                              <w:gridCol w:w="41"/>
                              <w:gridCol w:w="282"/>
                              <w:gridCol w:w="41"/>
                              <w:gridCol w:w="197"/>
                              <w:gridCol w:w="41"/>
                              <w:gridCol w:w="283"/>
                              <w:gridCol w:w="79"/>
                            </w:tblGrid>
                            <w:tr>
                              <w:trPr/>
                              <w:tc>
                                <w:tcPr>
                                  <w:tcW w:w="282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824" w:type="dxa"/>
                                  <w:tcBorders/>
                                  <w:vAlign w:val="bottom"/>
                                </w:tcPr>
                                <w:p>
                                  <w:pPr>
                                    <w:pStyle w:val="TableContents"/>
                                    <w:bidi w:val="0"/>
                                    <w:spacing w:before="0" w:after="283"/>
                                    <w:jc w:val="left"/>
                                    <w:rPr/>
                                  </w:pPr>
                                  <w:r>
                                    <w:rPr/>
                                    <w:t>INCOME STATEMENTS</w:t>
                                  </w:r>
                                </w:p>
                              </w:tc>
                              <w:tc>
                                <w:tcPr>
                                  <w:tcW w:w="186" w:type="dxa"/>
                                  <w:tcBorders/>
                                  <w:vAlign w:val="bottom"/>
                                </w:tcPr>
                                <w:p>
                                  <w:pPr>
                                    <w:pStyle w:val="TableContents"/>
                                    <w:bidi w:val="0"/>
                                    <w:spacing w:before="0" w:after="283"/>
                                    <w:jc w:val="left"/>
                                    <w:rPr/>
                                  </w:pPr>
                                  <w:r>
                                    <w:rPr/>
                                    <w:t>  </w:t>
                                  </w:r>
                                </w:p>
                              </w:tc>
                              <w:tc>
                                <w:tcPr>
                                  <w:tcW w:w="716" w:type="dxa"/>
                                  <w:gridSpan w:val="6"/>
                                  <w:tcBorders/>
                                  <w:vAlign w:val="bottom"/>
                                </w:tcPr>
                                <w:p>
                                  <w:pPr>
                                    <w:pStyle w:val="TableContents"/>
                                    <w:bidi w:val="0"/>
                                    <w:spacing w:before="0" w:after="283"/>
                                    <w:jc w:val="center"/>
                                    <w:rPr/>
                                  </w:pPr>
                                  <w:r>
                                    <w:rPr/>
                                    <w:t>Jan - Jun</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85" w:type="dxa"/>
                                  <w:gridSpan w:val="6"/>
                                  <w:tcBorders/>
                                  <w:vAlign w:val="bottom"/>
                                </w:tcPr>
                                <w:p>
                                  <w:pPr>
                                    <w:pStyle w:val="TableContents"/>
                                    <w:bidi w:val="0"/>
                                    <w:spacing w:before="0" w:after="283"/>
                                    <w:jc w:val="center"/>
                                    <w:rPr/>
                                  </w:pPr>
                                  <w:r>
                                    <w:rPr/>
                                    <w:t>Second Quarter</w:t>
                                  </w:r>
                                </w:p>
                              </w:tc>
                              <w:tc>
                                <w:tcPr>
                                  <w:tcW w:w="79" w:type="dxa"/>
                                  <w:tcBorders/>
                                  <w:vAlign w:val="bottom"/>
                                </w:tcPr>
                                <w:p>
                                  <w:pPr>
                                    <w:pStyle w:val="TableContents"/>
                                    <w:bidi w:val="0"/>
                                    <w:spacing w:before="0" w:after="283"/>
                                    <w:jc w:val="left"/>
                                    <w:rPr/>
                                  </w:pPr>
                                  <w:r>
                                    <w:rPr/>
                                    <w:t> </w:t>
                                  </w:r>
                                </w:p>
                              </w:tc>
                            </w:tr>
                            <w:tr>
                              <w:trPr/>
                              <w:tc>
                                <w:tcPr>
                                  <w:tcW w:w="282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186" w:type="dxa"/>
                                  <w:tcBorders/>
                                  <w:vAlign w:val="bottom"/>
                                </w:tcPr>
                                <w:p>
                                  <w:pPr>
                                    <w:pStyle w:val="TableContents"/>
                                    <w:bidi w:val="0"/>
                                    <w:spacing w:before="0" w:after="283"/>
                                    <w:jc w:val="left"/>
                                    <w:rPr/>
                                  </w:pPr>
                                  <w:r>
                                    <w:rPr/>
                                    <w:t>  </w:t>
                                  </w:r>
                                </w:p>
                              </w:tc>
                              <w:tc>
                                <w:tcPr>
                                  <w:tcW w:w="25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5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2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2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79" w:type="dxa"/>
                                  <w:tcBorders/>
                                  <w:vAlign w:val="bottom"/>
                                </w:tcPr>
                                <w:p>
                                  <w:pPr>
                                    <w:pStyle w:val="TableContents"/>
                                    <w:bidi w:val="0"/>
                                    <w:spacing w:before="0" w:after="283"/>
                                    <w:jc w:val="left"/>
                                    <w:rPr/>
                                  </w:pPr>
                                  <w:r>
                                    <w:rPr/>
                                    <w:t> </w:t>
                                  </w:r>
                                </w:p>
                              </w:tc>
                            </w:tr>
                            <w:tr>
                              <w:trPr/>
                              <w:tc>
                                <w:tcPr>
                                  <w:tcW w:w="2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86"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right"/>
                                    <w:rPr/>
                                  </w:pPr>
                                  <w:r>
                                    <w:rPr/>
                                    <w:t>— </w:t>
                                  </w:r>
                                </w:p>
                              </w:tc>
                              <w:tc>
                                <w:tcPr>
                                  <w:tcW w:w="2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94</w:t>
                                  </w:r>
                                </w:p>
                              </w:tc>
                              <w:tc>
                                <w:tcPr>
                                  <w:tcW w:w="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right"/>
                                    <w:rPr/>
                                  </w:pPr>
                                  <w:r>
                                    <w:rPr/>
                                    <w:t>— </w:t>
                                  </w:r>
                                </w:p>
                              </w:tc>
                              <w:tc>
                                <w:tcPr>
                                  <w:tcW w:w="4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33</w:t>
                                  </w:r>
                                </w:p>
                              </w:tc>
                              <w:tc>
                                <w:tcPr>
                                  <w:tcW w:w="79" w:type="dxa"/>
                                  <w:tcBorders/>
                                  <w:shd w:fill="CCEEFF" w:val="clear"/>
                                  <w:vAlign w:val="bottom"/>
                                </w:tcPr>
                                <w:p>
                                  <w:pPr>
                                    <w:pStyle w:val="TableContents"/>
                                    <w:bidi w:val="0"/>
                                    <w:spacing w:before="0" w:after="283"/>
                                    <w:jc w:val="left"/>
                                    <w:rPr/>
                                  </w:pPr>
                                  <w:r>
                                    <w:rPr/>
                                    <w:t> </w:t>
                                  </w:r>
                                </w:p>
                              </w:tc>
                            </w:tr>
                            <w:tr>
                              <w:trPr/>
                              <w:tc>
                                <w:tcPr>
                                  <w:tcW w:w="2824"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operating expenses, other expenses, and gain on sale, net</w:t>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right"/>
                                    <w:rPr/>
                                  </w:pPr>
                                  <w:r>
                                    <w:rPr/>
                                    <w:t>2</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513</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right"/>
                                    <w:rPr/>
                                  </w:pPr>
                                  <w:r>
                                    <w:rPr/>
                                    <w:t>— </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(49</w:t>
                                  </w:r>
                                </w:p>
                              </w:tc>
                              <w:tc>
                                <w:tcPr>
                                  <w:tcW w:w="79" w:type="dxa"/>
                                  <w:tcBorders/>
                                  <w:vAlign w:val="bottom"/>
                                </w:tcPr>
                                <w:p>
                                  <w:pPr>
                                    <w:pStyle w:val="TableContents"/>
                                    <w:bidi w:val="0"/>
                                    <w:spacing w:before="0" w:after="283"/>
                                    <w:jc w:val="left"/>
                                    <w:rPr/>
                                  </w:pPr>
                                  <w:r>
                                    <w:rPr/>
                                    <w:t>) </w:t>
                                  </w:r>
                                </w:p>
                              </w:tc>
                            </w:tr>
                            <w:tr>
                              <w:trPr/>
                              <w:tc>
                                <w:tcPr>
                                  <w:tcW w:w="2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and others</w:t>
                                  </w:r>
                                </w:p>
                              </w:tc>
                              <w:tc>
                                <w:tcPr>
                                  <w:tcW w:w="186"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right"/>
                                    <w:rPr/>
                                  </w:pPr>
                                  <w:r>
                                    <w:rPr/>
                                    <w:t>— </w:t>
                                  </w:r>
                                </w:p>
                              </w:tc>
                              <w:tc>
                                <w:tcPr>
                                  <w:tcW w:w="2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(4</w:t>
                                  </w:r>
                                </w:p>
                              </w:tc>
                              <w:tc>
                                <w:tcPr>
                                  <w:tcW w:w="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right"/>
                                    <w:rPr/>
                                  </w:pPr>
                                  <w:r>
                                    <w:rPr/>
                                    <w:t>— </w:t>
                                  </w:r>
                                </w:p>
                              </w:tc>
                              <w:tc>
                                <w:tcPr>
                                  <w:tcW w:w="4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(2</w:t>
                                  </w:r>
                                </w:p>
                              </w:tc>
                              <w:tc>
                                <w:tcPr>
                                  <w:tcW w:w="79" w:type="dxa"/>
                                  <w:tcBorders/>
                                  <w:shd w:fill="CCEEFF" w:val="clear"/>
                                  <w:vAlign w:val="bottom"/>
                                </w:tcPr>
                                <w:p>
                                  <w:pPr>
                                    <w:pStyle w:val="TableContents"/>
                                    <w:bidi w:val="0"/>
                                    <w:spacing w:before="0" w:after="283"/>
                                    <w:jc w:val="left"/>
                                    <w:rPr/>
                                  </w:pPr>
                                  <w:r>
                                    <w:rPr/>
                                    <w:t>) </w:t>
                                  </w:r>
                                </w:p>
                              </w:tc>
                            </w:tr>
                            <w:tr>
                              <w:trPr/>
                              <w:tc>
                                <w:tcPr>
                                  <w:tcW w:w="282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pBdr>
                                      <w:top w:val="single" w:sz="2" w:space="1" w:color="000000"/>
                                    </w:pBdr>
                                    <w:bidi w:val="0"/>
                                    <w:spacing w:before="0" w:after="0"/>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28"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4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r>
                              <w:trPr/>
                              <w:tc>
                                <w:tcPr>
                                  <w:tcW w:w="2824"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w:t>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right"/>
                                    <w:rPr/>
                                  </w:pPr>
                                  <w:r>
                                    <w:rPr/>
                                    <w:t>2</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603</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right"/>
                                    <w:rPr/>
                                  </w:pPr>
                                  <w:r>
                                    <w:rPr/>
                                    <w:t>— </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(18</w:t>
                                  </w:r>
                                </w:p>
                              </w:tc>
                              <w:tc>
                                <w:tcPr>
                                  <w:tcW w:w="79" w:type="dxa"/>
                                  <w:tcBorders/>
                                  <w:vAlign w:val="bottom"/>
                                </w:tcPr>
                                <w:p>
                                  <w:pPr>
                                    <w:pStyle w:val="TableContents"/>
                                    <w:bidi w:val="0"/>
                                    <w:spacing w:before="0" w:after="283"/>
                                    <w:jc w:val="left"/>
                                    <w:rPr/>
                                  </w:pPr>
                                  <w:r>
                                    <w:rPr/>
                                    <w:t>) </w:t>
                                  </w:r>
                                </w:p>
                              </w:tc>
                            </w:tr>
                            <w:tr>
                              <w:trPr/>
                              <w:tc>
                                <w:tcPr>
                                  <w:tcW w:w="2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86"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right"/>
                                    <w:rPr/>
                                  </w:pPr>
                                  <w:r>
                                    <w:rPr/>
                                    <w:t>— </w:t>
                                  </w:r>
                                </w:p>
                              </w:tc>
                              <w:tc>
                                <w:tcPr>
                                  <w:tcW w:w="2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(3</w:t>
                                  </w:r>
                                </w:p>
                              </w:tc>
                              <w:tc>
                                <w:tcPr>
                                  <w:tcW w:w="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right"/>
                                    <w:rPr/>
                                  </w:pPr>
                                  <w:r>
                                    <w:rPr/>
                                    <w:t>— </w:t>
                                  </w:r>
                                </w:p>
                              </w:tc>
                              <w:tc>
                                <w:tcPr>
                                  <w:tcW w:w="4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282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pBdr>
                                      <w:top w:val="single" w:sz="2" w:space="1" w:color="000000"/>
                                    </w:pBdr>
                                    <w:bidi w:val="0"/>
                                    <w:spacing w:before="0" w:after="0"/>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28"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4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r>
                              <w:trPr/>
                              <w:tc>
                                <w:tcPr>
                                  <w:tcW w:w="2824" w:type="dxa"/>
                                  <w:tcBorders/>
                                </w:tcPr>
                                <w:p>
                                  <w:pPr>
                                    <w:pStyle w:val="TableContents"/>
                                    <w:bidi w:val="0"/>
                                    <w:spacing w:before="0" w:after="0"/>
                                    <w:jc w:val="left"/>
                                    <w:rPr>
                                      <w:rFonts w:ascii="Times New Roman" w:hAnsi="Times New Roman"/>
                                      <w:sz w:val="20"/>
                                    </w:rPr>
                                  </w:pPr>
                                  <w:r>
                                    <w:rPr>
                                      <w:rFonts w:ascii="Times New Roman" w:hAnsi="Times New Roman"/>
                                      <w:sz w:val="20"/>
                                    </w:rPr>
                                    <w:t>Net result from discontinued operations</w:t>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right"/>
                                    <w:rPr/>
                                  </w:pPr>
                                  <w:r>
                                    <w:rPr/>
                                    <w:t>2</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600</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right"/>
                                    <w:rPr/>
                                  </w:pPr>
                                  <w:r>
                                    <w:rPr/>
                                    <w:t>— </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(18</w:t>
                                  </w:r>
                                </w:p>
                              </w:tc>
                              <w:tc>
                                <w:tcPr>
                                  <w:tcW w:w="79" w:type="dxa"/>
                                  <w:tcBorders/>
                                  <w:vAlign w:val="bottom"/>
                                </w:tcPr>
                                <w:p>
                                  <w:pPr>
                                    <w:pStyle w:val="TableContents"/>
                                    <w:bidi w:val="0"/>
                                    <w:spacing w:before="0" w:after="283"/>
                                    <w:jc w:val="left"/>
                                    <w:rPr/>
                                  </w:pPr>
                                  <w:r>
                                    <w:rPr/>
                                    <w:t>) </w:t>
                                  </w:r>
                                </w:p>
                              </w:tc>
                            </w:tr>
                            <w:tr>
                              <w:trPr/>
                              <w:tc>
                                <w:tcPr>
                                  <w:tcW w:w="282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pBdr>
                                      <w:top w:val="single" w:sz="2" w:space="1" w:color="000000"/>
                                    </w:pBdr>
                                    <w:bidi w:val="0"/>
                                    <w:spacing w:before="0" w:after="0"/>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28"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4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Discontinued operations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2025, Cemex concluded the sale of substantially all its operations and the majority of its assets in Panama to Grupo Estrella, primarily comprising one cement plant and related cement assets, ready-mix concrete, and aggregates, for a total consideration of US$200 million. Cemex retained its admixtures business in Panama. The sale resulted in a loss on disposal of US$63 million and a goodwill write-off of US$24 million. For the six-month period ended June 30, 2025, Cemex’s operations in Panama are reported in Cemex’s income statements, net of income tax, in the single line item “Discontinued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2025, Cemex completed the sale of its operations in the Dominican Republic to Cementos Progreso Holdings, S.L., and its strategic partners for a total consideration of US$928 million, after adjustments for final cash, debt, and working capital balances. The divested assets consisted of one cement plant in the Dominican Republic with two integrated production lines, along with related cement, ready-mix concrete, aggregates, and marine terminal assets. For the six-month period ended June 30, 2025, Cemex’s operations in the Dominican Republic are reported in Cemex’s income statements, net of income tax, in the single line item “Discontinued operations,” including a gain on sale of US$551 million, net of the reclassification of foreign currency translation effects accrued in equity until the date of sale and goodwill write off of US$13 million.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income statements for the six-month period ended June 30, 2025. It includes Cemex’s discontinued operations related to Panama and the Dominican Republic.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4"/>
                        <w:gridCol w:w="186"/>
                        <w:gridCol w:w="32"/>
                        <w:gridCol w:w="219"/>
                        <w:gridCol w:w="28"/>
                        <w:gridCol w:w="186"/>
                        <w:gridCol w:w="33"/>
                        <w:gridCol w:w="218"/>
                        <w:gridCol w:w="75"/>
                        <w:gridCol w:w="133"/>
                        <w:gridCol w:w="41"/>
                        <w:gridCol w:w="282"/>
                        <w:gridCol w:w="41"/>
                        <w:gridCol w:w="197"/>
                        <w:gridCol w:w="41"/>
                        <w:gridCol w:w="283"/>
                        <w:gridCol w:w="79"/>
                      </w:tblGrid>
                      <w:tr>
                        <w:trPr/>
                        <w:tc>
                          <w:tcPr>
                            <w:tcW w:w="282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824" w:type="dxa"/>
                            <w:tcBorders/>
                            <w:vAlign w:val="bottom"/>
                          </w:tcPr>
                          <w:p>
                            <w:pPr>
                              <w:pStyle w:val="TableContents"/>
                              <w:bidi w:val="0"/>
                              <w:spacing w:before="0" w:after="283"/>
                              <w:jc w:val="left"/>
                              <w:rPr/>
                            </w:pPr>
                            <w:r>
                              <w:rPr/>
                              <w:t>INCOME STATEMENTS</w:t>
                            </w:r>
                          </w:p>
                        </w:tc>
                        <w:tc>
                          <w:tcPr>
                            <w:tcW w:w="186" w:type="dxa"/>
                            <w:tcBorders/>
                            <w:vAlign w:val="bottom"/>
                          </w:tcPr>
                          <w:p>
                            <w:pPr>
                              <w:pStyle w:val="TableContents"/>
                              <w:bidi w:val="0"/>
                              <w:spacing w:before="0" w:after="283"/>
                              <w:jc w:val="left"/>
                              <w:rPr/>
                            </w:pPr>
                            <w:r>
                              <w:rPr/>
                              <w:t>  </w:t>
                            </w:r>
                          </w:p>
                        </w:tc>
                        <w:tc>
                          <w:tcPr>
                            <w:tcW w:w="716" w:type="dxa"/>
                            <w:gridSpan w:val="6"/>
                            <w:tcBorders/>
                            <w:vAlign w:val="bottom"/>
                          </w:tcPr>
                          <w:p>
                            <w:pPr>
                              <w:pStyle w:val="TableContents"/>
                              <w:bidi w:val="0"/>
                              <w:spacing w:before="0" w:after="283"/>
                              <w:jc w:val="center"/>
                              <w:rPr/>
                            </w:pPr>
                            <w:r>
                              <w:rPr/>
                              <w:t>Jan - Jun</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885" w:type="dxa"/>
                            <w:gridSpan w:val="6"/>
                            <w:tcBorders/>
                            <w:vAlign w:val="bottom"/>
                          </w:tcPr>
                          <w:p>
                            <w:pPr>
                              <w:pStyle w:val="TableContents"/>
                              <w:bidi w:val="0"/>
                              <w:spacing w:before="0" w:after="283"/>
                              <w:jc w:val="center"/>
                              <w:rPr/>
                            </w:pPr>
                            <w:r>
                              <w:rPr/>
                              <w:t>Second Quarter</w:t>
                            </w:r>
                          </w:p>
                        </w:tc>
                        <w:tc>
                          <w:tcPr>
                            <w:tcW w:w="79" w:type="dxa"/>
                            <w:tcBorders/>
                            <w:vAlign w:val="bottom"/>
                          </w:tcPr>
                          <w:p>
                            <w:pPr>
                              <w:pStyle w:val="TableContents"/>
                              <w:bidi w:val="0"/>
                              <w:spacing w:before="0" w:after="283"/>
                              <w:jc w:val="left"/>
                              <w:rPr/>
                            </w:pPr>
                            <w:r>
                              <w:rPr/>
                              <w:t> </w:t>
                            </w:r>
                          </w:p>
                        </w:tc>
                      </w:tr>
                      <w:tr>
                        <w:trPr/>
                        <w:tc>
                          <w:tcPr>
                            <w:tcW w:w="282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186" w:type="dxa"/>
                            <w:tcBorders/>
                            <w:vAlign w:val="bottom"/>
                          </w:tcPr>
                          <w:p>
                            <w:pPr>
                              <w:pStyle w:val="TableContents"/>
                              <w:bidi w:val="0"/>
                              <w:spacing w:before="0" w:after="283"/>
                              <w:jc w:val="left"/>
                              <w:rPr/>
                            </w:pPr>
                            <w:r>
                              <w:rPr/>
                              <w:t>  </w:t>
                            </w:r>
                          </w:p>
                        </w:tc>
                        <w:tc>
                          <w:tcPr>
                            <w:tcW w:w="25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5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23"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2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79" w:type="dxa"/>
                            <w:tcBorders/>
                            <w:vAlign w:val="bottom"/>
                          </w:tcPr>
                          <w:p>
                            <w:pPr>
                              <w:pStyle w:val="TableContents"/>
                              <w:bidi w:val="0"/>
                              <w:spacing w:before="0" w:after="283"/>
                              <w:jc w:val="left"/>
                              <w:rPr/>
                            </w:pPr>
                            <w:r>
                              <w:rPr/>
                              <w:t> </w:t>
                            </w:r>
                          </w:p>
                        </w:tc>
                      </w:tr>
                      <w:tr>
                        <w:trPr/>
                        <w:tc>
                          <w:tcPr>
                            <w:tcW w:w="2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186"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right"/>
                              <w:rPr/>
                            </w:pPr>
                            <w:r>
                              <w:rPr/>
                              <w:t>— </w:t>
                            </w:r>
                          </w:p>
                        </w:tc>
                        <w:tc>
                          <w:tcPr>
                            <w:tcW w:w="2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94</w:t>
                            </w:r>
                          </w:p>
                        </w:tc>
                        <w:tc>
                          <w:tcPr>
                            <w:tcW w:w="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right"/>
                              <w:rPr/>
                            </w:pPr>
                            <w:r>
                              <w:rPr/>
                              <w:t>— </w:t>
                            </w:r>
                          </w:p>
                        </w:tc>
                        <w:tc>
                          <w:tcPr>
                            <w:tcW w:w="4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33</w:t>
                            </w:r>
                          </w:p>
                        </w:tc>
                        <w:tc>
                          <w:tcPr>
                            <w:tcW w:w="79" w:type="dxa"/>
                            <w:tcBorders/>
                            <w:shd w:fill="CCEEFF" w:val="clear"/>
                            <w:vAlign w:val="bottom"/>
                          </w:tcPr>
                          <w:p>
                            <w:pPr>
                              <w:pStyle w:val="TableContents"/>
                              <w:bidi w:val="0"/>
                              <w:spacing w:before="0" w:after="283"/>
                              <w:jc w:val="left"/>
                              <w:rPr/>
                            </w:pPr>
                            <w:r>
                              <w:rPr/>
                              <w:t> </w:t>
                            </w:r>
                          </w:p>
                        </w:tc>
                      </w:tr>
                      <w:tr>
                        <w:trPr/>
                        <w:tc>
                          <w:tcPr>
                            <w:tcW w:w="2824"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operating expenses, other expenses, and gain on sale, net</w:t>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right"/>
                              <w:rPr/>
                            </w:pPr>
                            <w:r>
                              <w:rPr/>
                              <w:t>2</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513</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right"/>
                              <w:rPr/>
                            </w:pPr>
                            <w:r>
                              <w:rPr/>
                              <w:t>— </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(49</w:t>
                            </w:r>
                          </w:p>
                        </w:tc>
                        <w:tc>
                          <w:tcPr>
                            <w:tcW w:w="79" w:type="dxa"/>
                            <w:tcBorders/>
                            <w:vAlign w:val="bottom"/>
                          </w:tcPr>
                          <w:p>
                            <w:pPr>
                              <w:pStyle w:val="TableContents"/>
                              <w:bidi w:val="0"/>
                              <w:spacing w:before="0" w:after="283"/>
                              <w:jc w:val="left"/>
                              <w:rPr/>
                            </w:pPr>
                            <w:r>
                              <w:rPr/>
                              <w:t>) </w:t>
                            </w:r>
                          </w:p>
                        </w:tc>
                      </w:tr>
                      <w:tr>
                        <w:trPr/>
                        <w:tc>
                          <w:tcPr>
                            <w:tcW w:w="2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and others</w:t>
                            </w:r>
                          </w:p>
                        </w:tc>
                        <w:tc>
                          <w:tcPr>
                            <w:tcW w:w="186"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right"/>
                              <w:rPr/>
                            </w:pPr>
                            <w:r>
                              <w:rPr/>
                              <w:t>— </w:t>
                            </w:r>
                          </w:p>
                        </w:tc>
                        <w:tc>
                          <w:tcPr>
                            <w:tcW w:w="2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(4</w:t>
                            </w:r>
                          </w:p>
                        </w:tc>
                        <w:tc>
                          <w:tcPr>
                            <w:tcW w:w="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right"/>
                              <w:rPr/>
                            </w:pPr>
                            <w:r>
                              <w:rPr/>
                              <w:t>— </w:t>
                            </w:r>
                          </w:p>
                        </w:tc>
                        <w:tc>
                          <w:tcPr>
                            <w:tcW w:w="4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(2</w:t>
                            </w:r>
                          </w:p>
                        </w:tc>
                        <w:tc>
                          <w:tcPr>
                            <w:tcW w:w="79" w:type="dxa"/>
                            <w:tcBorders/>
                            <w:shd w:fill="CCEEFF" w:val="clear"/>
                            <w:vAlign w:val="bottom"/>
                          </w:tcPr>
                          <w:p>
                            <w:pPr>
                              <w:pStyle w:val="TableContents"/>
                              <w:bidi w:val="0"/>
                              <w:spacing w:before="0" w:after="283"/>
                              <w:jc w:val="left"/>
                              <w:rPr/>
                            </w:pPr>
                            <w:r>
                              <w:rPr/>
                              <w:t>) </w:t>
                            </w:r>
                          </w:p>
                        </w:tc>
                      </w:tr>
                      <w:tr>
                        <w:trPr/>
                        <w:tc>
                          <w:tcPr>
                            <w:tcW w:w="282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pBdr>
                                <w:top w:val="single" w:sz="2" w:space="1" w:color="000000"/>
                              </w:pBdr>
                              <w:bidi w:val="0"/>
                              <w:spacing w:before="0" w:after="0"/>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28"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4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r>
                        <w:trPr/>
                        <w:tc>
                          <w:tcPr>
                            <w:tcW w:w="2824"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w:t>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right"/>
                              <w:rPr/>
                            </w:pPr>
                            <w:r>
                              <w:rPr/>
                              <w:t>2</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603</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right"/>
                              <w:rPr/>
                            </w:pPr>
                            <w:r>
                              <w:rPr/>
                              <w:t>— </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(18</w:t>
                            </w:r>
                          </w:p>
                        </w:tc>
                        <w:tc>
                          <w:tcPr>
                            <w:tcW w:w="79" w:type="dxa"/>
                            <w:tcBorders/>
                            <w:vAlign w:val="bottom"/>
                          </w:tcPr>
                          <w:p>
                            <w:pPr>
                              <w:pStyle w:val="TableContents"/>
                              <w:bidi w:val="0"/>
                              <w:spacing w:before="0" w:after="283"/>
                              <w:jc w:val="left"/>
                              <w:rPr/>
                            </w:pPr>
                            <w:r>
                              <w:rPr/>
                              <w:t>) </w:t>
                            </w:r>
                          </w:p>
                        </w:tc>
                      </w:tr>
                      <w:tr>
                        <w:trPr/>
                        <w:tc>
                          <w:tcPr>
                            <w:tcW w:w="28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86" w:type="dxa"/>
                            <w:tcBorders/>
                            <w:shd w:fill="CCEEFF" w:val="clear"/>
                            <w:vAlign w:val="bottom"/>
                          </w:tcPr>
                          <w:p>
                            <w:pPr>
                              <w:pStyle w:val="TableContents"/>
                              <w:bidi w:val="0"/>
                              <w:spacing w:before="0" w:after="283"/>
                              <w:jc w:val="left"/>
                              <w:rPr/>
                            </w:pPr>
                            <w:r>
                              <w:rPr/>
                              <w:t>  </w:t>
                            </w:r>
                          </w:p>
                        </w:tc>
                        <w:tc>
                          <w:tcPr>
                            <w:tcW w:w="3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right"/>
                              <w:rPr/>
                            </w:pPr>
                            <w:r>
                              <w:rPr/>
                              <w:t>— </w:t>
                            </w:r>
                          </w:p>
                        </w:tc>
                        <w:tc>
                          <w:tcPr>
                            <w:tcW w:w="2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3"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(3</w:t>
                            </w:r>
                          </w:p>
                        </w:tc>
                        <w:tc>
                          <w:tcPr>
                            <w:tcW w:w="7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right"/>
                              <w:rPr/>
                            </w:pPr>
                            <w:r>
                              <w:rPr/>
                              <w:t>— </w:t>
                            </w:r>
                          </w:p>
                        </w:tc>
                        <w:tc>
                          <w:tcPr>
                            <w:tcW w:w="4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4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282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pBdr>
                                <w:top w:val="single" w:sz="2" w:space="1" w:color="000000"/>
                              </w:pBdr>
                              <w:bidi w:val="0"/>
                              <w:spacing w:before="0" w:after="0"/>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28"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4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r>
                        <w:trPr/>
                        <w:tc>
                          <w:tcPr>
                            <w:tcW w:w="2824" w:type="dxa"/>
                            <w:tcBorders/>
                          </w:tcPr>
                          <w:p>
                            <w:pPr>
                              <w:pStyle w:val="TableContents"/>
                              <w:bidi w:val="0"/>
                              <w:spacing w:before="0" w:after="0"/>
                              <w:jc w:val="left"/>
                              <w:rPr>
                                <w:rFonts w:ascii="Times New Roman" w:hAnsi="Times New Roman"/>
                                <w:sz w:val="20"/>
                              </w:rPr>
                            </w:pPr>
                            <w:r>
                              <w:rPr>
                                <w:rFonts w:ascii="Times New Roman" w:hAnsi="Times New Roman"/>
                                <w:sz w:val="20"/>
                              </w:rPr>
                              <w:t>Net result from discontinued operations</w:t>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right"/>
                              <w:rPr/>
                            </w:pPr>
                            <w:r>
                              <w:rPr/>
                              <w:t>2</w:t>
                            </w:r>
                          </w:p>
                        </w:tc>
                        <w:tc>
                          <w:tcPr>
                            <w:tcW w:w="2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600</w:t>
                            </w:r>
                          </w:p>
                        </w:tc>
                        <w:tc>
                          <w:tcPr>
                            <w:tcW w:w="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right"/>
                              <w:rPr/>
                            </w:pPr>
                            <w:r>
                              <w:rPr/>
                              <w:t>— </w:t>
                            </w:r>
                          </w:p>
                        </w:tc>
                        <w:tc>
                          <w:tcPr>
                            <w:tcW w:w="4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(18</w:t>
                            </w:r>
                          </w:p>
                        </w:tc>
                        <w:tc>
                          <w:tcPr>
                            <w:tcW w:w="79" w:type="dxa"/>
                            <w:tcBorders/>
                            <w:vAlign w:val="bottom"/>
                          </w:tcPr>
                          <w:p>
                            <w:pPr>
                              <w:pStyle w:val="TableContents"/>
                              <w:bidi w:val="0"/>
                              <w:spacing w:before="0" w:after="283"/>
                              <w:jc w:val="left"/>
                              <w:rPr/>
                            </w:pPr>
                            <w:r>
                              <w:rPr/>
                              <w:t>) </w:t>
                            </w:r>
                          </w:p>
                        </w:tc>
                      </w:tr>
                      <w:tr>
                        <w:trPr/>
                        <w:tc>
                          <w:tcPr>
                            <w:tcW w:w="282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2" w:type="dxa"/>
                            <w:tcBorders/>
                            <w:vAlign w:val="bottom"/>
                          </w:tcPr>
                          <w:p>
                            <w:pPr>
                              <w:pStyle w:val="TableContents"/>
                              <w:pBdr>
                                <w:top w:val="single" w:sz="2" w:space="1" w:color="000000"/>
                              </w:pBdr>
                              <w:bidi w:val="0"/>
                              <w:spacing w:before="0" w:after="0"/>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28"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3" w:type="dxa"/>
                            <w:tcBorders/>
                            <w:vAlign w:val="bottom"/>
                          </w:tcPr>
                          <w:p>
                            <w:pPr>
                              <w:pStyle w:val="TableContents"/>
                              <w:pBdr>
                                <w:top w:val="single" w:sz="2" w:space="1" w:color="000000"/>
                              </w:pBdr>
                              <w:bidi w:val="0"/>
                              <w:spacing w:before="0" w:after="0"/>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4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41" w:type="dxa"/>
                            <w:tcBorders/>
                            <w:vAlign w:val="bottom"/>
                          </w:tcPr>
                          <w:p>
                            <w:pPr>
                              <w:pStyle w:val="TableContents"/>
                              <w:pBdr>
                                <w:top w:val="single" w:sz="2" w:space="1" w:color="000000"/>
                              </w:pBdr>
                              <w:bidi w:val="0"/>
                              <w:spacing w:before="0" w:after="0"/>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7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3175000" cy="8036560"/>
                <wp:effectExtent l="0" t="0" r="0" b="0"/>
                <wp:wrapSquare wrapText="right"/>
                <wp:docPr id="22" name="Frame6"/>
                <a:graphic xmlns:a="http://schemas.openxmlformats.org/drawingml/2006/main">
                  <a:graphicData uri="http://schemas.microsoft.com/office/word/2010/wordprocessingShape">
                    <wps:wsp>
                      <wps:cNvSpPr txBox="1"/>
                      <wps:spPr>
                        <a:xfrm>
                          <a:off x="0" y="0"/>
                          <a:ext cx="3175000" cy="803656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Assets held for sale and related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Cemex presents “Assets held for sale” and “Liabilities directly related to assets held for sale”, respectively, in connection with the agreement to divest several assets in Colombia, including cement operations and a portfolio of ready-mix concrete, aggregates, mortars, and admixtures, for total proceeds of approximately US$485 million. This transaction is expected to close by year-end. We will continue to consolidate these operations in our P&amp;L until the transaction closes.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condensed combined information of the statement of financial position for the assets held for sale in Colombia as of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33"/>
                              <w:gridCol w:w="384"/>
                              <w:gridCol w:w="38"/>
                              <w:gridCol w:w="306"/>
                              <w:gridCol w:w="39"/>
                            </w:tblGrid>
                            <w:tr>
                              <w:trPr/>
                              <w:tc>
                                <w:tcPr>
                                  <w:tcW w:w="303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03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384" w:type="dxa"/>
                                  <w:tcBorders/>
                                  <w:vAlign w:val="bottom"/>
                                </w:tcPr>
                                <w:p>
                                  <w:pPr>
                                    <w:pStyle w:val="TableContents"/>
                                    <w:bidi w:val="0"/>
                                    <w:spacing w:before="0" w:after="283"/>
                                    <w:jc w:val="left"/>
                                    <w:rPr/>
                                  </w:pPr>
                                  <w:r>
                                    <w:rPr/>
                                    <w:t>  </w:t>
                                  </w:r>
                                </w:p>
                              </w:tc>
                              <w:tc>
                                <w:tcPr>
                                  <w:tcW w:w="344"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9"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122</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377</w:t>
                                  </w:r>
                                </w:p>
                              </w:tc>
                              <w:tc>
                                <w:tcPr>
                                  <w:tcW w:w="39" w:type="dxa"/>
                                  <w:tcBorders/>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499</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69</w:t>
                                  </w:r>
                                </w:p>
                              </w:tc>
                              <w:tc>
                                <w:tcPr>
                                  <w:tcW w:w="39"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98</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167</w:t>
                                  </w:r>
                                </w:p>
                              </w:tc>
                              <w:tc>
                                <w:tcPr>
                                  <w:tcW w:w="39" w:type="dxa"/>
                                  <w:tcBorders/>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sold or held for sale</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332</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2.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Assets held for sale and related liabilities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Cemex presents “Assets held for sale” and “Liabilities directly related to assets held for sale”, respectively, in connection with the agreement to divest several assets in Colombia, including cement operations and a portfolio of ready-mix concrete, aggregates, mortars, and admixtures, for total proceeds of approximately US$485 million. This transaction is expected to close by year-end. We will continue to consolidate these operations in our P&amp;L until the transaction closes.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condensed combined information of the statement of financial position for the assets held for sale in Colombia as of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33"/>
                        <w:gridCol w:w="384"/>
                        <w:gridCol w:w="38"/>
                        <w:gridCol w:w="306"/>
                        <w:gridCol w:w="39"/>
                      </w:tblGrid>
                      <w:tr>
                        <w:trPr/>
                        <w:tc>
                          <w:tcPr>
                            <w:tcW w:w="303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303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(Millions of U.S. dollars)</w:t>
                            </w:r>
                          </w:p>
                        </w:tc>
                        <w:tc>
                          <w:tcPr>
                            <w:tcW w:w="384" w:type="dxa"/>
                            <w:tcBorders/>
                            <w:vAlign w:val="bottom"/>
                          </w:tcPr>
                          <w:p>
                            <w:pPr>
                              <w:pStyle w:val="TableContents"/>
                              <w:bidi w:val="0"/>
                              <w:spacing w:before="0" w:after="283"/>
                              <w:jc w:val="left"/>
                              <w:rPr/>
                            </w:pPr>
                            <w:r>
                              <w:rPr/>
                              <w:t>  </w:t>
                            </w:r>
                          </w:p>
                        </w:tc>
                        <w:tc>
                          <w:tcPr>
                            <w:tcW w:w="344"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9"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122</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377</w:t>
                            </w:r>
                          </w:p>
                        </w:tc>
                        <w:tc>
                          <w:tcPr>
                            <w:tcW w:w="39" w:type="dxa"/>
                            <w:tcBorders/>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499</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69</w:t>
                            </w:r>
                          </w:p>
                        </w:tc>
                        <w:tc>
                          <w:tcPr>
                            <w:tcW w:w="39"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98</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right"/>
                              <w:rPr/>
                            </w:pPr>
                            <w:r>
                              <w:rPr/>
                              <w:t>167</w:t>
                            </w:r>
                          </w:p>
                        </w:tc>
                        <w:tc>
                          <w:tcPr>
                            <w:tcW w:w="39" w:type="dxa"/>
                            <w:tcBorders/>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sold or held for sale</w:t>
                            </w:r>
                          </w:p>
                        </w:tc>
                        <w:tc>
                          <w:tcPr>
                            <w:tcW w:w="384" w:type="dxa"/>
                            <w:tcBorders/>
                            <w:shd w:fill="CCEEFF" w:val="clear"/>
                            <w:vAlign w:val="bottom"/>
                          </w:tcPr>
                          <w:p>
                            <w:pPr>
                              <w:pStyle w:val="TableContents"/>
                              <w:bidi w:val="0"/>
                              <w:spacing w:before="0" w:after="283"/>
                              <w:jc w:val="left"/>
                              <w:rPr/>
                            </w:pPr>
                            <w:r>
                              <w:rPr/>
                              <w:t>  </w:t>
                            </w:r>
                          </w:p>
                        </w:tc>
                        <w:tc>
                          <w:tcPr>
                            <w:tcW w:w="38"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right"/>
                              <w:rPr/>
                            </w:pPr>
                            <w:r>
                              <w:rPr/>
                              <w:t>332</w:t>
                            </w:r>
                          </w:p>
                        </w:tc>
                        <w:tc>
                          <w:tcPr>
                            <w:tcW w:w="39" w:type="dxa"/>
                            <w:tcBorders/>
                            <w:shd w:fill="CCEEFF" w:val="clear"/>
                            <w:vAlign w:val="bottom"/>
                          </w:tcPr>
                          <w:p>
                            <w:pPr>
                              <w:pStyle w:val="TableContents"/>
                              <w:bidi w:val="0"/>
                              <w:spacing w:before="0" w:after="283"/>
                              <w:jc w:val="left"/>
                              <w:rPr/>
                            </w:pPr>
                            <w:r>
                              <w:rPr/>
                              <w:t> </w:t>
                            </w:r>
                          </w:p>
                        </w:tc>
                      </w:tr>
                      <w:tr>
                        <w:trPr/>
                        <w:tc>
                          <w:tcPr>
                            <w:tcW w:w="303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38" w:type="dxa"/>
                            <w:tcBorders/>
                            <w:vAlign w:val="bottom"/>
                          </w:tcPr>
                          <w:p>
                            <w:pPr>
                              <w:pStyle w:val="TableContents"/>
                              <w:pBdr>
                                <w:top w:val="single" w:sz="2" w:space="1" w:color="000000"/>
                              </w:pBdr>
                              <w:bidi w:val="0"/>
                              <w:spacing w:before="0" w:after="0"/>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39"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14</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Definitions of terms and disclosures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110230" cy="7244715"/>
                <wp:effectExtent l="0" t="0" r="0" b="0"/>
                <wp:wrapSquare wrapText="right"/>
                <wp:docPr id="24" name="Frame7"/>
                <a:graphic xmlns:a="http://schemas.openxmlformats.org/drawingml/2006/main">
                  <a:graphicData uri="http://schemas.microsoft.com/office/word/2010/wordprocessingShape">
                    <wps:wsp>
                      <wps:cNvSpPr txBox="1"/>
                      <wps:spPr>
                        <a:xfrm>
                          <a:off x="0" y="0"/>
                          <a:ext cx="3110230" cy="724471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Methodology for translation, consolidation, and presentation of results </w:t>
                            </w:r>
                          </w:p>
                          <w:p>
                            <w:pPr>
                              <w:pStyle w:val="TextBody"/>
                              <w:bidi w:val="0"/>
                              <w:spacing w:before="120" w:after="0"/>
                              <w:jc w:val="left"/>
                              <w:rPr>
                                <w:rFonts w:ascii="Times New Roman" w:hAnsi="Times New Roman"/>
                                <w:sz w:val="20"/>
                              </w:rPr>
                            </w:pPr>
                            <w:r>
                              <w:rPr>
                                <w:rFonts w:ascii="Times New Roman" w:hAnsi="Times New Roman"/>
                                <w:sz w:val="20"/>
                              </w:rPr>
                              <w:t xml:space="preserve">Under IFRS, Cemex translates the financial statements of foreign subsidiaries using exchange rates at the reporting date for the balance sheet and the exchange rates at the end of each month for the income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Breakdown of regions and subregions </w:t>
                            </w:r>
                          </w:p>
                          <w:p>
                            <w:pPr>
                              <w:pStyle w:val="TextBody"/>
                              <w:bidi w:val="0"/>
                              <w:spacing w:before="120" w:after="0"/>
                              <w:jc w:val="left"/>
                              <w:rPr>
                                <w:rFonts w:ascii="Times New Roman" w:hAnsi="Times New Roman"/>
                                <w:sz w:val="20"/>
                              </w:rPr>
                            </w:pPr>
                            <w:r>
                              <w:rPr>
                                <w:rFonts w:ascii="Times New Roman" w:hAnsi="Times New Roman"/>
                                <w:sz w:val="20"/>
                              </w:rPr>
                              <w:t xml:space="preserve">The South, Central America and the Caribbean region includes Cemex’s operations in Colombia, Puerto Rico, Nicaragua, Jamaica, Trinidad and Tobago, Guyana, Barbados, Peru and Bahamas. </w:t>
                            </w:r>
                          </w:p>
                          <w:p>
                            <w:pPr>
                              <w:pStyle w:val="TextBody"/>
                              <w:bidi w:val="0"/>
                              <w:spacing w:before="120" w:after="0"/>
                              <w:jc w:val="left"/>
                              <w:rPr>
                                <w:rFonts w:ascii="Times New Roman" w:hAnsi="Times New Roman"/>
                                <w:sz w:val="20"/>
                              </w:rPr>
                            </w:pPr>
                            <w:r>
                              <w:rPr>
                                <w:rFonts w:ascii="Times New Roman" w:hAnsi="Times New Roman"/>
                                <w:sz w:val="20"/>
                              </w:rPr>
                              <w:t xml:space="preserve">The EMEA region includes Europe, Middle East and Africa. </w:t>
                            </w:r>
                          </w:p>
                          <w:p>
                            <w:pPr>
                              <w:pStyle w:val="TextBody"/>
                              <w:bidi w:val="0"/>
                              <w:spacing w:before="120" w:after="0"/>
                              <w:jc w:val="left"/>
                              <w:rPr>
                                <w:rFonts w:ascii="Times New Roman" w:hAnsi="Times New Roman"/>
                                <w:sz w:val="20"/>
                              </w:rPr>
                            </w:pPr>
                            <w:r>
                              <w:rPr>
                                <w:rFonts w:ascii="Times New Roman" w:hAnsi="Times New Roman"/>
                                <w:sz w:val="20"/>
                              </w:rPr>
                              <w:t xml:space="preserve">Europe subregion includes operations in Spain, Croatia, the Czech Republic, France, Germany, Poland, and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Middle East and Africa subregion includes operations in United Arab Emirates, Egypt, and Israel.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terms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from operations Cemex defines it as Operating EBITDA minus net interest paid, maintenance capital expenditures, maintenance lease payments, fixed asset sales, change in working capital, net taxes paid, and other cash expenditures. </w:t>
                            </w:r>
                          </w:p>
                          <w:p>
                            <w:pPr>
                              <w:pStyle w:val="TextBody"/>
                              <w:bidi w:val="0"/>
                              <w:spacing w:before="240" w:after="0"/>
                              <w:jc w:val="left"/>
                              <w:rPr>
                                <w:rFonts w:ascii="Times New Roman" w:hAnsi="Times New Roman"/>
                                <w:sz w:val="20"/>
                              </w:rPr>
                            </w:pPr>
                            <w:r>
                              <w:rPr>
                                <w:rFonts w:ascii="Times New Roman" w:hAnsi="Times New Roman"/>
                                <w:sz w:val="20"/>
                              </w:rPr>
                              <w:t xml:space="preserve">l-t-l (like to like) on a like-to-like basis adjusting for currency fluctuations. </w:t>
                            </w:r>
                          </w:p>
                          <w:p>
                            <w:pPr>
                              <w:pStyle w:val="TextBody"/>
                              <w:bidi w:val="0"/>
                              <w:spacing w:before="240" w:after="0"/>
                              <w:jc w:val="left"/>
                              <w:rPr>
                                <w:rFonts w:ascii="Times New Roman" w:hAnsi="Times New Roman"/>
                                <w:sz w:val="20"/>
                              </w:rPr>
                            </w:pPr>
                            <w:r>
                              <w:rPr>
                                <w:rFonts w:ascii="Times New Roman" w:hAnsi="Times New Roman"/>
                                <w:sz w:val="20"/>
                              </w:rPr>
                              <w:t xml:space="preserve">Maintenance capital expenditures equal investments incurred for the purpose of ensuring the company’s operational continuity. These include capital expenditures on projects required to replace obsolete assets or maintain current operational levels, and mandatory capital expenditures, which are projects required to comply with governmental regulations or company policies. </w:t>
                            </w:r>
                          </w:p>
                          <w:p>
                            <w:pPr>
                              <w:pStyle w:val="TextBody"/>
                              <w:bidi w:val="0"/>
                              <w:spacing w:before="240" w:after="0"/>
                              <w:jc w:val="left"/>
                              <w:rPr>
                                <w:rFonts w:ascii="Times New Roman" w:hAnsi="Times New Roman"/>
                                <w:sz w:val="20"/>
                              </w:rPr>
                            </w:pPr>
                            <w:r>
                              <w:rPr>
                                <w:rFonts w:ascii="Times New Roman" w:hAnsi="Times New Roman"/>
                                <w:sz w:val="20"/>
                              </w:rPr>
                              <w:t xml:space="preserve">Net debt equals total debt (debt plus financial leases) minus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Sales, when referring to reportable segment sales, revenues are presented before eliminations of intragroup transactions. When referring to Consolidated Sales, these represent the total revenues (Net Sales) of the company as reported in the financial statements.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0.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Methodology for translation, consolidation, and presentation of results </w:t>
                      </w:r>
                    </w:p>
                    <w:p>
                      <w:pPr>
                        <w:pStyle w:val="TextBody"/>
                        <w:bidi w:val="0"/>
                        <w:spacing w:before="120" w:after="0"/>
                        <w:jc w:val="left"/>
                        <w:rPr>
                          <w:rFonts w:ascii="Times New Roman" w:hAnsi="Times New Roman"/>
                          <w:sz w:val="20"/>
                        </w:rPr>
                      </w:pPr>
                      <w:r>
                        <w:rPr>
                          <w:rFonts w:ascii="Times New Roman" w:hAnsi="Times New Roman"/>
                          <w:sz w:val="20"/>
                        </w:rPr>
                        <w:t xml:space="preserve">Under IFRS, Cemex translates the financial statements of foreign subsidiaries using exchange rates at the reporting date for the balance sheet and the exchange rates at the end of each month for the income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Breakdown of regions and subregions </w:t>
                      </w:r>
                    </w:p>
                    <w:p>
                      <w:pPr>
                        <w:pStyle w:val="TextBody"/>
                        <w:bidi w:val="0"/>
                        <w:spacing w:before="120" w:after="0"/>
                        <w:jc w:val="left"/>
                        <w:rPr>
                          <w:rFonts w:ascii="Times New Roman" w:hAnsi="Times New Roman"/>
                          <w:sz w:val="20"/>
                        </w:rPr>
                      </w:pPr>
                      <w:r>
                        <w:rPr>
                          <w:rFonts w:ascii="Times New Roman" w:hAnsi="Times New Roman"/>
                          <w:sz w:val="20"/>
                        </w:rPr>
                        <w:t xml:space="preserve">The South, Central America and the Caribbean region includes Cemex’s operations in Colombia, Puerto Rico, Nicaragua, Jamaica, Trinidad and Tobago, Guyana, Barbados, Peru and Bahamas. </w:t>
                      </w:r>
                    </w:p>
                    <w:p>
                      <w:pPr>
                        <w:pStyle w:val="TextBody"/>
                        <w:bidi w:val="0"/>
                        <w:spacing w:before="120" w:after="0"/>
                        <w:jc w:val="left"/>
                        <w:rPr>
                          <w:rFonts w:ascii="Times New Roman" w:hAnsi="Times New Roman"/>
                          <w:sz w:val="20"/>
                        </w:rPr>
                      </w:pPr>
                      <w:r>
                        <w:rPr>
                          <w:rFonts w:ascii="Times New Roman" w:hAnsi="Times New Roman"/>
                          <w:sz w:val="20"/>
                        </w:rPr>
                        <w:t xml:space="preserve">The EMEA region includes Europe, Middle East and Africa. </w:t>
                      </w:r>
                    </w:p>
                    <w:p>
                      <w:pPr>
                        <w:pStyle w:val="TextBody"/>
                        <w:bidi w:val="0"/>
                        <w:spacing w:before="120" w:after="0"/>
                        <w:jc w:val="left"/>
                        <w:rPr>
                          <w:rFonts w:ascii="Times New Roman" w:hAnsi="Times New Roman"/>
                          <w:sz w:val="20"/>
                        </w:rPr>
                      </w:pPr>
                      <w:r>
                        <w:rPr>
                          <w:rFonts w:ascii="Times New Roman" w:hAnsi="Times New Roman"/>
                          <w:sz w:val="20"/>
                        </w:rPr>
                        <w:t xml:space="preserve">Europe subregion includes operations in Spain, Croatia, the Czech Republic, France, Germany, Poland, and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Middle East and Africa subregion includes operations in United Arab Emirates, Egypt, and Israel.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terms </w:t>
                      </w:r>
                    </w:p>
                    <w:p>
                      <w:pPr>
                        <w:pStyle w:val="TextBody"/>
                        <w:bidi w:val="0"/>
                        <w:spacing w:before="120" w:after="0"/>
                        <w:jc w:val="left"/>
                        <w:rPr>
                          <w:rFonts w:ascii="Times New Roman" w:hAnsi="Times New Roman"/>
                          <w:sz w:val="20"/>
                        </w:rPr>
                      </w:pPr>
                      <w:r>
                        <w:rPr>
                          <w:rFonts w:ascii="Times New Roman" w:hAnsi="Times New Roman"/>
                          <w:sz w:val="20"/>
                        </w:rPr>
                        <w:t xml:space="preserve">Free cash flow from operations Cemex defines it as Operating EBITDA minus net interest paid, maintenance capital expenditures, maintenance lease payments, fixed asset sales, change in working capital, net taxes paid, and other cash expenditures. </w:t>
                      </w:r>
                    </w:p>
                    <w:p>
                      <w:pPr>
                        <w:pStyle w:val="TextBody"/>
                        <w:bidi w:val="0"/>
                        <w:spacing w:before="240" w:after="0"/>
                        <w:jc w:val="left"/>
                        <w:rPr>
                          <w:rFonts w:ascii="Times New Roman" w:hAnsi="Times New Roman"/>
                          <w:sz w:val="20"/>
                        </w:rPr>
                      </w:pPr>
                      <w:r>
                        <w:rPr>
                          <w:rFonts w:ascii="Times New Roman" w:hAnsi="Times New Roman"/>
                          <w:sz w:val="20"/>
                        </w:rPr>
                        <w:t xml:space="preserve">l-t-l (like to like) on a like-to-like basis adjusting for currency fluctuations. </w:t>
                      </w:r>
                    </w:p>
                    <w:p>
                      <w:pPr>
                        <w:pStyle w:val="TextBody"/>
                        <w:bidi w:val="0"/>
                        <w:spacing w:before="240" w:after="0"/>
                        <w:jc w:val="left"/>
                        <w:rPr>
                          <w:rFonts w:ascii="Times New Roman" w:hAnsi="Times New Roman"/>
                          <w:sz w:val="20"/>
                        </w:rPr>
                      </w:pPr>
                      <w:r>
                        <w:rPr>
                          <w:rFonts w:ascii="Times New Roman" w:hAnsi="Times New Roman"/>
                          <w:sz w:val="20"/>
                        </w:rPr>
                        <w:t xml:space="preserve">Maintenance capital expenditures equal investments incurred for the purpose of ensuring the company’s operational continuity. These include capital expenditures on projects required to replace obsolete assets or maintain current operational levels, and mandatory capital expenditures, which are projects required to comply with governmental regulations or company policies. </w:t>
                      </w:r>
                    </w:p>
                    <w:p>
                      <w:pPr>
                        <w:pStyle w:val="TextBody"/>
                        <w:bidi w:val="0"/>
                        <w:spacing w:before="240" w:after="0"/>
                        <w:jc w:val="left"/>
                        <w:rPr>
                          <w:rFonts w:ascii="Times New Roman" w:hAnsi="Times New Roman"/>
                          <w:sz w:val="20"/>
                        </w:rPr>
                      </w:pPr>
                      <w:r>
                        <w:rPr>
                          <w:rFonts w:ascii="Times New Roman" w:hAnsi="Times New Roman"/>
                          <w:sz w:val="20"/>
                        </w:rPr>
                        <w:t xml:space="preserve">Net debt equals total debt (debt plus financial leases) minus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Sales, when referring to reportable segment sales, revenues are presented before eliminations of intragroup transactions. When referring to Consolidated Sales, these represent the total revenues (Net Sales) of the company as reported in the financial statements. </w:t>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3175000" cy="7397115"/>
                <wp:effectExtent l="0" t="0" r="0" b="0"/>
                <wp:wrapSquare wrapText="right"/>
                <wp:docPr id="25" name="Frame8"/>
                <a:graphic xmlns:a="http://schemas.openxmlformats.org/drawingml/2006/main">
                  <a:graphicData uri="http://schemas.microsoft.com/office/word/2010/wordprocessingShape">
                    <wps:wsp>
                      <wps:cNvSpPr txBox="1"/>
                      <wps:spPr>
                        <a:xfrm>
                          <a:off x="0" y="0"/>
                          <a:ext cx="3175000" cy="7397115"/>
                        </a:xfrm>
                        <a:prstGeom prst="rect"/>
                        <a:solidFill>
                          <a:srgbClr val="FFFFFF"/>
                        </a:solidFill>
                      </wps:spPr>
                      <wps:txbx>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or EBITDA equals operating earnings before other income and expenses, net, plus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or EBITDA margin, is calculated by dividing our “Operating EBITDA” by our sales. </w:t>
                            </w:r>
                          </w:p>
                          <w:p>
                            <w:pPr>
                              <w:pStyle w:val="TextBody"/>
                              <w:bidi w:val="0"/>
                              <w:spacing w:before="240" w:after="0"/>
                              <w:jc w:val="left"/>
                              <w:rPr>
                                <w:rFonts w:ascii="Times New Roman" w:hAnsi="Times New Roman"/>
                                <w:sz w:val="20"/>
                              </w:rPr>
                            </w:pPr>
                            <w:r>
                              <w:rPr>
                                <w:rFonts w:ascii="Times New Roman" w:hAnsi="Times New Roman"/>
                                <w:sz w:val="20"/>
                              </w:rPr>
                              <w:t xml:space="preserve">pp equals percentage points. </w:t>
                            </w:r>
                          </w:p>
                          <w:p>
                            <w:pPr>
                              <w:pStyle w:val="TextBody"/>
                              <w:bidi w:val="0"/>
                              <w:spacing w:before="240" w:after="0"/>
                              <w:jc w:val="left"/>
                              <w:rPr>
                                <w:rFonts w:ascii="Times New Roman" w:hAnsi="Times New Roman"/>
                                <w:sz w:val="20"/>
                              </w:rPr>
                            </w:pPr>
                            <w:r>
                              <w:rPr>
                                <w:rFonts w:ascii="Times New Roman" w:hAnsi="Times New Roman"/>
                                <w:sz w:val="20"/>
                              </w:rPr>
                              <w:t xml:space="preserve">Prices all reference to pricing initiatives, price increases or decreases, refer to our prices for our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equal selling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Growth capital expenditures equal investments incurred with the purpose of increasing the company’s profitability. These include capital expenditures on projects designed to increase profitability by expanding capacity, and margin improvement capital expenditures, which are projects designed to increase profitability by reducing costs.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intangible assets equals investments and expenses incurred in the development of internal-use software, industrial property, and trademarks, and aggregates mining rights. </w:t>
                            </w:r>
                          </w:p>
                          <w:p>
                            <w:pPr>
                              <w:pStyle w:val="TextBody"/>
                              <w:bidi w:val="0"/>
                              <w:spacing w:before="240" w:after="0"/>
                              <w:jc w:val="left"/>
                              <w:rPr>
                                <w:rFonts w:ascii="Times New Roman" w:hAnsi="Times New Roman"/>
                                <w:sz w:val="20"/>
                              </w:rPr>
                            </w:pPr>
                            <w:r>
                              <w:rPr>
                                <w:rFonts w:ascii="Times New Roman" w:hAnsi="Times New Roman"/>
                                <w:sz w:val="20"/>
                              </w:rPr>
                              <w:t xml:space="preserve">Working capital equals operating accounts receivable (including other current assets received as payment in kind) plus historical inventories minus operating payables. </w:t>
                            </w:r>
                          </w:p>
                          <w:p>
                            <w:pPr>
                              <w:pStyle w:val="TextBody"/>
                              <w:bidi w:val="0"/>
                              <w:spacing w:before="240" w:after="0"/>
                              <w:jc w:val="left"/>
                              <w:rPr>
                                <w:rFonts w:ascii="Times New Roman" w:hAnsi="Times New Roman"/>
                                <w:sz w:val="20"/>
                              </w:rPr>
                            </w:pPr>
                            <w:r>
                              <w:rPr>
                                <w:rFonts w:ascii="Times New Roman" w:hAnsi="Times New Roman"/>
                                <w:sz w:val="20"/>
                              </w:rPr>
                              <w:t xml:space="preserve">% var percentage variation </w:t>
                            </w:r>
                          </w:p>
                          <w:p>
                            <w:pPr>
                              <w:pStyle w:val="TextBody"/>
                              <w:bidi w:val="0"/>
                              <w:spacing w:before="360" w:after="0"/>
                              <w:jc w:val="left"/>
                              <w:rPr>
                                <w:rFonts w:ascii="Times New Roman" w:hAnsi="Times New Roman"/>
                                <w:b/>
                                <w:sz w:val="20"/>
                              </w:rPr>
                            </w:pPr>
                            <w:r>
                              <w:rPr>
                                <w:rFonts w:ascii="Times New Roman" w:hAnsi="Times New Roman"/>
                                <w:b/>
                                <w:sz w:val="20"/>
                              </w:rPr>
                              <w:t xml:space="preserve">Earnings per ADS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page 2 for the number of average ADSs outstanding used for the calculation of earnings per ADS.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IAS 33 Earnings per share, the weighted-average number of common shares outstanding is determined considering the number of days during the accounting period in which the shares have been outstanding, including shares derived from corporate events that have modified the stockholder’s equity structure during the period, such as increases in the number of shares by a public offering and the distribution of shares from stock dividends or recapitalizations of retained earnings and the potential diluted shares (Stock options, Restricted Stock Options and Mandatory Convertible Shares). The shares issued because of share dividends, recapitalizations and potential diluted shares are considered as issued at the beginning of the period.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82.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sz w:val="20"/>
                        </w:rPr>
                      </w:pPr>
                      <w:r>
                        <w:rPr>
                          <w:rFonts w:ascii="Times New Roman" w:hAnsi="Times New Roman"/>
                          <w:sz w:val="20"/>
                        </w:rPr>
                        <w:t xml:space="preserve">Operating EBITDA, or EBITDA equals operating earnings before other income and expenses, net, plus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Operating EBITDA margin, or EBITDA margin, is calculated by dividing our “Operating EBITDA” by our sales. </w:t>
                      </w:r>
                    </w:p>
                    <w:p>
                      <w:pPr>
                        <w:pStyle w:val="TextBody"/>
                        <w:bidi w:val="0"/>
                        <w:spacing w:before="240" w:after="0"/>
                        <w:jc w:val="left"/>
                        <w:rPr>
                          <w:rFonts w:ascii="Times New Roman" w:hAnsi="Times New Roman"/>
                          <w:sz w:val="20"/>
                        </w:rPr>
                      </w:pPr>
                      <w:r>
                        <w:rPr>
                          <w:rFonts w:ascii="Times New Roman" w:hAnsi="Times New Roman"/>
                          <w:sz w:val="20"/>
                        </w:rPr>
                        <w:t xml:space="preserve">pp equals percentage points. </w:t>
                      </w:r>
                    </w:p>
                    <w:p>
                      <w:pPr>
                        <w:pStyle w:val="TextBody"/>
                        <w:bidi w:val="0"/>
                        <w:spacing w:before="240" w:after="0"/>
                        <w:jc w:val="left"/>
                        <w:rPr>
                          <w:rFonts w:ascii="Times New Roman" w:hAnsi="Times New Roman"/>
                          <w:sz w:val="20"/>
                        </w:rPr>
                      </w:pPr>
                      <w:r>
                        <w:rPr>
                          <w:rFonts w:ascii="Times New Roman" w:hAnsi="Times New Roman"/>
                          <w:sz w:val="20"/>
                        </w:rPr>
                        <w:t xml:space="preserve">Prices all reference to pricing initiatives, price increases or decreases, refer to our prices for our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equal selling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Growth capital expenditures equal investments incurred with the purpose of increasing the company’s profitability. These include capital expenditures on projects designed to increase profitability by expanding capacity, and margin improvement capital expenditures, which are projects designed to increase profitability by reducing costs.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intangible assets equals investments and expenses incurred in the development of internal-use software, industrial property, and trademarks, and aggregates mining rights. </w:t>
                      </w:r>
                    </w:p>
                    <w:p>
                      <w:pPr>
                        <w:pStyle w:val="TextBody"/>
                        <w:bidi w:val="0"/>
                        <w:spacing w:before="240" w:after="0"/>
                        <w:jc w:val="left"/>
                        <w:rPr>
                          <w:rFonts w:ascii="Times New Roman" w:hAnsi="Times New Roman"/>
                          <w:sz w:val="20"/>
                        </w:rPr>
                      </w:pPr>
                      <w:r>
                        <w:rPr>
                          <w:rFonts w:ascii="Times New Roman" w:hAnsi="Times New Roman"/>
                          <w:sz w:val="20"/>
                        </w:rPr>
                        <w:t xml:space="preserve">Working capital equals operating accounts receivable (including other current assets received as payment in kind) plus historical inventories minus operating payables. </w:t>
                      </w:r>
                    </w:p>
                    <w:p>
                      <w:pPr>
                        <w:pStyle w:val="TextBody"/>
                        <w:bidi w:val="0"/>
                        <w:spacing w:before="240" w:after="0"/>
                        <w:jc w:val="left"/>
                        <w:rPr>
                          <w:rFonts w:ascii="Times New Roman" w:hAnsi="Times New Roman"/>
                          <w:sz w:val="20"/>
                        </w:rPr>
                      </w:pPr>
                      <w:r>
                        <w:rPr>
                          <w:rFonts w:ascii="Times New Roman" w:hAnsi="Times New Roman"/>
                          <w:sz w:val="20"/>
                        </w:rPr>
                        <w:t xml:space="preserve">% var percentage variation </w:t>
                      </w:r>
                    </w:p>
                    <w:p>
                      <w:pPr>
                        <w:pStyle w:val="TextBody"/>
                        <w:bidi w:val="0"/>
                        <w:spacing w:before="360" w:after="0"/>
                        <w:jc w:val="left"/>
                        <w:rPr>
                          <w:rFonts w:ascii="Times New Roman" w:hAnsi="Times New Roman"/>
                          <w:b/>
                          <w:sz w:val="20"/>
                        </w:rPr>
                      </w:pPr>
                      <w:r>
                        <w:rPr>
                          <w:rFonts w:ascii="Times New Roman" w:hAnsi="Times New Roman"/>
                          <w:b/>
                          <w:sz w:val="20"/>
                        </w:rPr>
                        <w:t xml:space="preserve">Earnings per ADS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page 2 for the number of average ADSs outstanding used for the calculation of earnings per ADS.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IAS 33 Earnings per share, the weighted-average number of common shares outstanding is determined considering the number of days during the accounting period in which the shares have been outstanding, including shares derived from corporate events that have modified the stockholder’s equity structure during the period, such as increases in the number of shares by a public offering and the distribution of shares from stock dividends or recapitalizations of retained earnings and the potential diluted shares (Stock options, Restricted Stock Options and Mandatory Convertible Shares). The shares issued because of share dividends, recapitalizations and potential diluted shares are considered as issued at the beginning of the period. </w:t>
                      </w:r>
                    </w:p>
                  </w:txbxContent>
                </v:textbox>
                <w10:wrap type="square" side="right"/>
              </v:rect>
            </w:pict>
          </mc:Fallback>
        </mc:AlternateConten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4"/>
        <w:gridCol w:w="162"/>
        <w:gridCol w:w="70"/>
        <w:gridCol w:w="806"/>
        <w:gridCol w:w="60"/>
        <w:gridCol w:w="162"/>
        <w:gridCol w:w="70"/>
        <w:gridCol w:w="806"/>
        <w:gridCol w:w="60"/>
        <w:gridCol w:w="162"/>
        <w:gridCol w:w="70"/>
        <w:gridCol w:w="806"/>
        <w:gridCol w:w="60"/>
        <w:gridCol w:w="162"/>
        <w:gridCol w:w="70"/>
        <w:gridCol w:w="806"/>
        <w:gridCol w:w="60"/>
        <w:gridCol w:w="162"/>
        <w:gridCol w:w="115"/>
        <w:gridCol w:w="1318"/>
        <w:gridCol w:w="60"/>
        <w:gridCol w:w="162"/>
        <w:gridCol w:w="115"/>
        <w:gridCol w:w="1319"/>
        <w:gridCol w:w="68"/>
      </w:tblGrid>
      <w:tr>
        <w:trPr/>
        <w:tc>
          <w:tcPr>
            <w:tcW w:w="2494"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494" w:type="dxa"/>
            <w:tcBorders/>
            <w:vAlign w:val="bottom"/>
          </w:tcPr>
          <w:p>
            <w:pPr>
              <w:pStyle w:val="TableContents"/>
              <w:bidi w:val="0"/>
              <w:spacing w:before="0" w:after="283"/>
              <w:jc w:val="left"/>
              <w:rPr>
                <w:b/>
              </w:rPr>
            </w:pPr>
            <w:r>
              <w:rPr>
                <w:b/>
              </w:rPr>
              <w:t>Exchange rates</w:t>
            </w:r>
          </w:p>
        </w:tc>
        <w:tc>
          <w:tcPr>
            <w:tcW w:w="162" w:type="dxa"/>
            <w:tcBorders/>
            <w:vAlign w:val="bottom"/>
          </w:tcPr>
          <w:p>
            <w:pPr>
              <w:pStyle w:val="TableContents"/>
              <w:bidi w:val="0"/>
              <w:spacing w:before="0" w:after="283"/>
              <w:jc w:val="left"/>
              <w:rPr/>
            </w:pPr>
            <w:r>
              <w:rPr/>
              <w:t>  </w:t>
            </w:r>
          </w:p>
        </w:tc>
        <w:tc>
          <w:tcPr>
            <w:tcW w:w="1974" w:type="dxa"/>
            <w:gridSpan w:val="6"/>
            <w:tcBorders/>
            <w:vAlign w:val="bottom"/>
          </w:tcPr>
          <w:p>
            <w:pPr>
              <w:pStyle w:val="TableContents"/>
              <w:bidi w:val="0"/>
              <w:spacing w:before="0" w:after="283"/>
              <w:jc w:val="center"/>
              <w:rPr>
                <w:b/>
              </w:rPr>
            </w:pPr>
            <w:r>
              <w:rPr>
                <w:b/>
              </w:rPr>
              <w:t>January - June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974" w:type="dxa"/>
            <w:gridSpan w:val="6"/>
            <w:tcBorders/>
            <w:vAlign w:val="bottom"/>
          </w:tcPr>
          <w:p>
            <w:pPr>
              <w:pStyle w:val="TableContents"/>
              <w:bidi w:val="0"/>
              <w:spacing w:before="0" w:after="283"/>
              <w:jc w:val="center"/>
              <w:rPr>
                <w:b/>
              </w:rPr>
            </w:pPr>
            <w:r>
              <w:rPr>
                <w:b/>
              </w:rPr>
              <w:t>Second Quarter</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3089" w:type="dxa"/>
            <w:gridSpan w:val="6"/>
            <w:tcBorders/>
            <w:vAlign w:val="bottom"/>
          </w:tcPr>
          <w:p>
            <w:pPr>
              <w:pStyle w:val="TableContents"/>
              <w:bidi w:val="0"/>
              <w:spacing w:before="0" w:after="283"/>
              <w:jc w:val="center"/>
              <w:rPr>
                <w:b/>
              </w:rPr>
            </w:pPr>
            <w:r>
              <w:rPr>
                <w:b/>
              </w:rPr>
              <w:t>Second Quarter</w:t>
            </w:r>
          </w:p>
        </w:tc>
        <w:tc>
          <w:tcPr>
            <w:tcW w:w="68" w:type="dxa"/>
            <w:tcBorders/>
            <w:vAlign w:val="bottom"/>
          </w:tcPr>
          <w:p>
            <w:pPr>
              <w:pStyle w:val="TableContents"/>
              <w:bidi w:val="0"/>
              <w:spacing w:before="0" w:after="283"/>
              <w:jc w:val="left"/>
              <w:rPr/>
            </w:pPr>
            <w:r>
              <w:rPr/>
              <w:t> </w:t>
            </w:r>
          </w:p>
        </w:tc>
      </w:tr>
      <w:tr>
        <w:trPr/>
        <w:tc>
          <w:tcPr>
            <w:tcW w:w="2494" w:type="dxa"/>
            <w:vMerge w:val="restart"/>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3" w:type="dxa"/>
            <w:gridSpan w:val="2"/>
            <w:tcBorders/>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4" w:type="dxa"/>
            <w:gridSpan w:val="2"/>
            <w:tcBorders/>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2494" w:type="dxa"/>
            <w:vMerge w:val="continue"/>
            <w:tcBorders/>
            <w:vAlign w:val="bottom"/>
          </w:tcPr>
          <w:p>
            <w:pPr>
              <w:pStyle w:val="Normal"/>
              <w:bidi w:val="0"/>
              <w:jc w:val="left"/>
              <w:rPr/>
            </w:pPr>
            <w:r>
              <w:rPr/>
            </w:r>
          </w:p>
        </w:tc>
        <w:tc>
          <w:tcPr>
            <w:tcW w:w="162"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End of period</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End of period</w:t>
            </w:r>
          </w:p>
        </w:tc>
        <w:tc>
          <w:tcPr>
            <w:tcW w:w="68" w:type="dxa"/>
            <w:tcBorders/>
            <w:vAlign w:val="bottom"/>
          </w:tcPr>
          <w:p>
            <w:pPr>
              <w:pStyle w:val="TableContents"/>
              <w:bidi w:val="0"/>
              <w:spacing w:before="0" w:after="283"/>
              <w:jc w:val="left"/>
              <w:rPr/>
            </w:pPr>
            <w:r>
              <w:rPr/>
              <w:t> </w:t>
            </w:r>
          </w:p>
        </w:tc>
      </w:tr>
      <w:tr>
        <w:trPr/>
        <w:tc>
          <w:tcPr>
            <w:tcW w:w="2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Mexican peso</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17.49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19.92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17.43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17.49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18.75</w:t>
            </w:r>
          </w:p>
        </w:tc>
        <w:tc>
          <w:tcPr>
            <w:tcW w:w="68" w:type="dxa"/>
            <w:tcBorders/>
            <w:shd w:fill="CCEEFF" w:val="clear"/>
            <w:vAlign w:val="bottom"/>
          </w:tcPr>
          <w:p>
            <w:pPr>
              <w:pStyle w:val="TableContents"/>
              <w:bidi w:val="0"/>
              <w:spacing w:before="0" w:after="283"/>
              <w:jc w:val="left"/>
              <w:rPr/>
            </w:pPr>
            <w:r>
              <w:rPr/>
              <w:t> </w:t>
            </w:r>
          </w:p>
        </w:tc>
      </w:tr>
      <w:tr>
        <w:trPr/>
        <w:tc>
          <w:tcPr>
            <w:tcW w:w="2494" w:type="dxa"/>
            <w:tcBorders/>
          </w:tcPr>
          <w:p>
            <w:pPr>
              <w:pStyle w:val="TableContents"/>
              <w:bidi w:val="0"/>
              <w:spacing w:before="0" w:after="0"/>
              <w:jc w:val="left"/>
              <w:rPr>
                <w:rFonts w:ascii="Times New Roman" w:hAnsi="Times New Roman"/>
                <w:sz w:val="20"/>
              </w:rPr>
            </w:pPr>
            <w:r>
              <w:rPr>
                <w:rFonts w:ascii="Times New Roman" w:hAnsi="Times New Roman"/>
                <w:sz w:val="20"/>
              </w:rPr>
              <w:t>Euro</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0.8567</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0.9094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0.8618</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0.8693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0.8754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0.8485</w:t>
            </w:r>
          </w:p>
        </w:tc>
        <w:tc>
          <w:tcPr>
            <w:tcW w:w="68" w:type="dxa"/>
            <w:tcBorders/>
            <w:vAlign w:val="bottom"/>
          </w:tcPr>
          <w:p>
            <w:pPr>
              <w:pStyle w:val="TableContents"/>
              <w:bidi w:val="0"/>
              <w:spacing w:before="0" w:after="283"/>
              <w:jc w:val="left"/>
              <w:rPr/>
            </w:pPr>
            <w:r>
              <w:rPr/>
              <w:t> </w:t>
            </w:r>
          </w:p>
        </w:tc>
      </w:tr>
      <w:tr>
        <w:trPr/>
        <w:tc>
          <w:tcPr>
            <w:tcW w:w="2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British pound</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0.7434</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0.7650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0.7440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0.7390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0.7541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0.7282</w:t>
            </w:r>
          </w:p>
        </w:tc>
        <w:tc>
          <w:tcPr>
            <w:tcW w:w="68" w:type="dxa"/>
            <w:tcBorders/>
            <w:shd w:fill="CCEEFF" w:val="clear"/>
            <w:vAlign w:val="bottom"/>
          </w:tcPr>
          <w:p>
            <w:pPr>
              <w:pStyle w:val="TableContents"/>
              <w:bidi w:val="0"/>
              <w:spacing w:before="0" w:after="283"/>
              <w:jc w:val="left"/>
              <w:rPr/>
            </w:pPr>
            <w:r>
              <w:rPr/>
              <w:t> </w:t>
            </w:r>
          </w:p>
        </w:tc>
      </w:tr>
      <w:tr>
        <w:trPr/>
        <w:tc>
          <w:tcPr>
            <w:tcW w:w="249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31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Amounts provided in units of local currency per U.S. dollar.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15</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Disclaimer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Except as the context otherwise may require, references in this report to “we,” “us,” “our,” or similar expressions refer to Cemex, S.A.B. de C.V. (“Cemex”) (NYSE: CX; BMV: CEMEX.CPO) and its consolidated entities. The information disclosed in this report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including but not limited to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this report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report to differ or fail to materialize, or that otherwise could have an impact on us, include those discussed in our most recent annual report and those detailed from time to time in our other filings with the U.S. Securities and the Exchange Commission (“SEC”), Mexican National Banking and Securities Commission (Comisión Nacional Bancaria y de Valores, the “CNBV”) and the Mexican Stock Exchange (Bolsa Mexicana de Valores,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import and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China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16</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Disclaimer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Many factors could cause our expectations, expected results, and/or projections expressed in this report and in the events referenced herein not being reached and/or not producing the expected benefits and/or results, as any such benefits or results are subject to uncertainties, costs, performance, and also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this report,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this report are made and stated as of the dates specified in such referenced report and are subject to change without notice; and, except to the extent legally required, we expressly disclaim any obligation or undertaking to update or correct the information contained in this report, or revise any forward-looking statements in such referenced report,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this report and events referenced herein not attributed to a specific source are our estimates and have not been independently verified. Certain financial and statistical information contained in this report is subject to rounding adjustments; accordingly, any discrepancies between the totals and the sums of the amounts listed are due to rounding. Unless otherwise specified, all references to records are our internal records. This report includes certain non-International Financial Reporting Standards (“IFRS”) financial measures that differ from financial information presented by us in accordance with IFRS in our financial statements and reports containing financial information. The aforementioned non-IFRS financial measures include “Operating EBITDA” or “EBITDA” (operating earnings before other expenses, net plus depreciation and amortization), “Operating EBITDA Margin” or “EBITDA Margin” (Operating EBITDA for the period divided by revenues reported for the same period), “Operating EBIT” or “EBIT” (operating earnings before other expenses, net), and “Free Cash Flow from Operations” (Operating EBITDA minus net interest paid, maintenance capital expenditures, maintenance lease payments, fixed asset sales, change in working capital, net taxes paid, and other cash expenditures). The closest IFRS financial measure to Operating EBITDA is “Operating earnings before other expenses, net”, as Operating EBITDA adds depreciation and amortization to the IFRS financial measure. We believe there is no close IFRS financial measure to compare to Operating EBITDA Margin. The closest IFRS financial measure to Operating EBIT is “Operating earnings before other expenses, net”. We believe there is no close IFRS financial measure to compare to Free Cash Flow from Operations. These non-IFRS financial measures are designed to complement and should not be considered superior to financial measures calculated in accordance with IFRS. Although Operating EBITDA, Operating EBITDA Margin, Operating EBIT and Free Cash Flow from Operations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this report are being provided for informative purposes only and shall not be construed as investment, financial, or other advice. Also, this report includes statistical data regarding the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this report. We act in strict compliance with antitrust laws and as such, among other measures, maintain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this report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report. </w:t>
      </w:r>
      <w:r>
        <w:rPr>
          <w:rFonts w:ascii="Times New Roman" w:hAnsi="Times New Roman"/>
          <w:b/>
          <w:i/>
          <w:sz w:val="20"/>
        </w:rPr>
        <w:t xml:space="preserve">Cautionary Statement Regarding Environmental, Social, and Governance (“ESG”) and Sustainability-Related Data, Metrics, and Methodologies. </w:t>
      </w:r>
      <w:r>
        <w:rPr>
          <w:rFonts w:ascii="Times New Roman" w:hAnsi="Times New Roman"/>
          <w:i/>
          <w:sz w:val="20"/>
        </w:rPr>
        <w:t xml:space="preserve">This report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this report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report, and the reader may not be able to compare non-financial information performance metrics, data points, or targets between reporting periods on a direct like-for-like basis. Additionally, the information disclosed in this report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17</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066800" cy="238125"/>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1066800" cy="2381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Disclaimer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w:t>
      </w:r>
      <w:r>
        <w:rPr>
          <w:rFonts w:ascii="Times New Roman" w:hAnsi="Times New Roman"/>
          <w:b/>
          <w:i/>
          <w:sz w:val="20"/>
        </w:rPr>
        <w:t xml:space="preserve">Cautionary Statement Regarding Forward-Looking ESG or Sustainability Statements. </w:t>
      </w:r>
      <w:r>
        <w:rPr>
          <w:rFonts w:ascii="Times New Roman" w:hAnsi="Times New Roman"/>
          <w:i/>
          <w:sz w:val="20"/>
        </w:rPr>
        <w:t xml:space="preserve">Certain sections in this report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and regulations,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w:t>
      </w:r>
    </w:p>
    <w:p>
      <w:pPr>
        <w:pStyle w:val="TextBody"/>
        <w:bidi w:val="0"/>
        <w:spacing w:before="240" w:after="0"/>
        <w:jc w:val="center"/>
        <w:rPr>
          <w:rFonts w:ascii="Times New Roman" w:hAnsi="Times New Roman"/>
          <w:i/>
          <w:sz w:val="16"/>
        </w:rPr>
      </w:pPr>
      <w:r>
        <w:rPr>
          <w:rFonts w:ascii="Times New Roman" w:hAnsi="Times New Roman"/>
          <w:i/>
          <w:sz w:val="16"/>
        </w:rPr>
        <w:t xml:space="preserve">UNLESS OTHERWISE NOTED, ALL MONETARY FIGURES ARE PRESENTED IN DOLLARS, BASED ON INTERNATIONAL FINANCIAL REPORTING STANDARDS, AS APPLICABLE </w:t>
      </w:r>
    </w:p>
    <w:p>
      <w:pPr>
        <w:pStyle w:val="TextBody"/>
        <w:bidi w:val="0"/>
        <w:spacing w:before="240" w:after="0"/>
        <w:jc w:val="center"/>
        <w:rPr>
          <w:rFonts w:ascii="Times New Roman" w:hAnsi="Times New Roman"/>
          <w:i/>
          <w:sz w:val="16"/>
        </w:rPr>
      </w:pPr>
      <w:r>
        <w:rPr>
          <w:rFonts w:ascii="Times New Roman" w:hAnsi="Times New Roman"/>
          <w:i/>
          <w:sz w:val="16"/>
        </w:rPr>
        <w:t xml:space="preserve">Copyright Cemex, S.A.B. de C.V. and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3"/>
        <w:gridCol w:w="121"/>
        <w:gridCol w:w="4871"/>
      </w:tblGrid>
      <w:tr>
        <w:trPr/>
        <w:tc>
          <w:tcPr>
            <w:tcW w:w="52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5213" w:type="dxa"/>
            <w:tcBorders>
              <w:top w:val="single" w:sz="2" w:space="0" w:color="000000"/>
            </w:tcBorders>
            <w:tcMar>
              <w:top w:w="28" w:type="dxa"/>
            </w:tcMar>
          </w:tcPr>
          <w:p>
            <w:pPr>
              <w:pStyle w:val="TableContents"/>
              <w:bidi w:val="0"/>
              <w:spacing w:before="0" w:after="283"/>
              <w:jc w:val="left"/>
              <w:rPr/>
            </w:pPr>
            <w:r>
              <w:rPr/>
              <w:t>2026 Second Quarter Results</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871" w:type="dxa"/>
            <w:tcBorders>
              <w:top w:val="single" w:sz="2" w:space="0" w:color="000000"/>
            </w:tcBorders>
            <w:tcMar>
              <w:top w:w="28" w:type="dxa"/>
            </w:tcMar>
          </w:tcPr>
          <w:p>
            <w:pPr>
              <w:pStyle w:val="TableContents"/>
              <w:bidi w:val="0"/>
              <w:spacing w:before="0" w:after="283"/>
              <w:jc w:val="right"/>
              <w:rPr/>
            </w:pPr>
            <w:r>
              <w:rPr/>
              <w:t>Page 18</w:t>
            </w:r>
          </w:p>
        </w:tc>
      </w:tr>
    </w:tbl>
    <w:p>
      <w:pPr>
        <w:pStyle w:val="TextBody"/>
        <w:bidi w:val="0"/>
        <w:spacing w:before="0" w:after="0"/>
        <w:jc w:val="center"/>
        <w:rPr/>
      </w:pPr>
      <w:bookmarkStart w:id="6" w:name="d46310dex3.htm"/>
      <w:bookmarkStart w:id="7" w:name="ksd46310dex3"/>
      <w:bookmarkEnd w:id="6"/>
      <w:bookmarkEnd w:id="7"/>
      <w:r>
        <w:rPr/>
        <w:drawing>
          <wp:inline distT="0" distB="0" distL="0" distR="0">
            <wp:extent cx="3657600" cy="20574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Sixth Street Viaduct, Los Angeles, United States Second Quarter 2026 Results Exhibit 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Except as the context otherwise may require, references in this presentation to “we,” “us,” “our,” or similar expressions refer to Cemex, S.A.B. de C.V. (“Cemex”) (NYSE: CX; BMV: CEMEX.CPO) and its consolidated entities. The information disclosed in this presentation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including but not limited to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due to various factors.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this presentation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in this presentation to differ or fail to materialize, or that otherwise could have an impact on us, include those discussed in our most recent annual report and those detailed from time to time in our other filings with the U.S. Securities and the Exchange Commission (“SEC”), Mexican National Banking and Securities Commission (Comisión Nacional Bancaria y de Valores, the “CNBV”) and the Mexican Stock Exchange (Bolsa Mexicana de Valores,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operations; the legal and regulatory environment, including environmental, climate, trade, energy, tax, antitrust, sanctions, import and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China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and nature program, and to achieve our sustainability goals and objectives in effect at any given time, if any, including under our current “Future in Action” climate action and nature program. Many factors could cause our expectations, expected results, and/or projections expressed in this presentation and in the events referenced herein not being reached and/or not producing the expected benefits and/or results, as any such benefits or results are subject to uncertainties, costs, performance, and also rate of success and/or implementation of technologies, some of which are not yet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this presentation,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this presentation are made and stated as of the dates specified in such referenced presentation and are subject to change without notice; and, except to the extent legally required, we expressly disclaim any obligation or undertaking to update or correct the information contained in this presentation, or revise any forward-looking statements in such referenced presentation,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this presentation and events referenced herein not attributed to a specific source are our estimates and have not been independently verified. Certain financial and statistical information contained in this presentation is subject to rounding adjustments; accordingly, any discrepancies between the totals and the sums of the amounts listed are due to rounding. Unless otherwise specified, all references to records are our internal records. This presentation includes certain non-International Financial Reporting Standards (“IFRS”) financial measures that differ from financial information presented by us in accordance with IFRS in our financial statements and reports containing financial information. The aforementioned non-IFRS financial measures include “Operating EBITDA” or “EBITDA” (operating earnings before other expenses, net plus depreciation and amortization), “Operating EBITDA Margin” or “EBITDA Margin” (Operating EBITDA for the period divided by revenues reported for the same period), “Operating EBIT” or “EBIT” (operating earnings before other expenses, net), and “Free Cash Flow from Operations” (Operating EBITDA minus net interest paid, maintenance capital expenditures, maintenance lease payments, fixed asset sales, change in working capital, net taxes paid, and other cash expenditures). The closest IFRS financial measure to Operating EBITDA is “Operating earnings before other expenses, net”, as Operating EBITDA adds depreciation and amortization to the IFRS financial measure. We believe there is no close IFRS financial measure to compare to Operating EBITDA Margin. The closest IFRS financial measure to Operating EBIT is “Operating earnings before other expenses, net”. We believe there is no close IFRS financial measure to compare to Free Cash Flow from Operations. These non-IFRS financial measures are designed to complement and should not be considered superior to financial measures calculated in accordance with IFRS. Although Operating EBITDA, Operating EBITDA Margin, Operating EBIT and Free Cash Flow from Operations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this presentation are being provided for informative purposes only and shall not be construed as investment, financial, or other advice. Also, this presentation includes statistical data regarding the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this presentation. We act in strict compliance with antitrust laws and as such, among other measures, maintain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this presentation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this presentation. Cautionary Statement Regarding Environmental, Social, and Governance (“ESG”) and Sustainability-Related Data, Metrics, and Methodologies. This presentation includes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this presentation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this presentation, and the reader may not be able to compare non-financial information performance metrics, data points, or targets between reporting periods on a direct like-for-like basis. Additionally, the information disclosed in this presentation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Cautionary Statement Regarding Forward-Looking ESG or Sustainability Statements. Certain sections in this presentation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and nature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and regulations, including the timely 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UNLESS OTHERWISE NOTED, ALL MONETARY FIGURES ARE PRESENTED IN DOLLARS, BASED ON INTERNATIONAL FINANCIAL REPORTING STANDARDS, AS APPLICABLE Copyright Cemex, S.A.B. de C.V. and subsidiaries.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Transformation producing strong results Strong earnings quality ex. one-off 1: Sales +11%, EBITDA +19% and EBIT +29%; EBITDA margin +1.4pp, EBIT margin +1.9pp Record 2Q FCF from Operations of $651 M2,with 60% conversion rate3 Reduced gross CO₂ emissions by 1% year-to-date, supported by a lower clinker factor Project Cutting Edge savings target raised by $75 M to $475M, with room for further increase Consolidated 2Q EBITDA increasing 24% YoY, incl. favorable one-off settlement of outstanding claim in Europe of $42 million 1) Excluding the favorable one-off settlement of an outstanding claim in Europe of $42 million dollars. 2) Excluding severance payments and discontinued operations. 3) Excluding severance payments and disc. ops. divided by EBITDA on a trailing twelve-month basis. Accelerating recovery in our Mexican market as well as Project Cutting Edge contributions are a large factor in 2Q performance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2Q26 results reflecting progress on Transformation Goals Net Sales EBITDA FCF from  Operations pp EBITDA Margin Millions of U.S. dollars. 1) FCF from Operations excluding severance payments and discontinued operations divided by EBITDA on a trailing twelve-month basis. Adj. FCF from Ops. Conversion rate1 (LTM) pp +7% l-t-l +18% l-t-l EBIT 1H: 7,707 8,613 +5% l-t-l 1,417 1,812 +20% l-t-l 18.4% 21.0% +2.7pp -67 666 N/A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volume recovery in Mexico Domestic gray cement. USA SCAC MEX EMEA 2Q26 YoY % Volume Growth Cement1 Ready-mix Aggregates CONSOLIDATED VOLUMES YoY % Volume Growth EUROPE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Higher sequential prices in most regions Cement1 Ready-mix Aggregates 2Q26 YoY % and QoQ % Price Increases Domestic gray cement. Note: All price variations are based on FOB prices and in local currency (LC). For Cemex and all its regions, prices are calculated on a volume-weighted average basis at constant foreign-exchange rates. USA SCAC MEX EMEA 2% 2% 4% Sequential (1Q26 to 2Q26) 1% 2% 0% -1% 0% 5% 3% 1% 1% 1% 1% CONSOLIDATED PRICES YoY % Price Increase EUROPE -1% 0%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EBITDA growth largely supported by Transformation and pricing EBITDA Millions of U.S. dollars. 22.2% +2.1pp EBITDA margin 20.1%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Increasing Project Cutting Edge cost savings program to $475 million with more to come… a EXPECTED ACHIEVED Cost Savings Program (US$ M) 1H26 YoY EBITDA Margin COGS as % of Sales Op. Exp. as % of Sales Mexico +4.7pp -3.1pp -2.2pp US -1.3pp +1.6pp -0.1pp EMEA +2.2pp -1.2pp -1.4pp SCAC +3.5pp -1.3pp -0.6pp Cemex +2.7pp -1.4pp -1.6pp EBIT: +44% YoY EBITDA: +28% YoY Operating Total Savings Breakdown Overhead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 xml:space="preserve">as other Project Cutting Edge initiatives bolster asset efficiency and FCF going forward Opportunity Space 2026 2027 2028 &amp; beyond Cost Savings Program $475 M EBITDA Asset Pruning $100 to $150 M FCF Reduce individual FCF spend items ~$300 M FCF Bolt-on M&amp;A and AI contribution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Regional Highlights L' Arbre Blanc, Montpellier, France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Cable-Stayed Bridge, Nayarit, México Mexico: Building momentum with improving demand Structural efficiencies and operating leverage delivering solid results Second consecutive quarter of cement volume growth largely led by self-construction and government social programs Sequential prices increases across 3 core products, offsetting cost inflation Social housing continues to scale, while infrastructure ramp-up is taking longer Growth expected to normalize in 2H26 as comparisons become more demanding Millions of U.S. dollars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 Stable demand despite weather AGGS CEM 2Q26 EBITDA RMX &amp; Urb. Sol. Millions of U.S. dollars Unusually high precipitation impacting performance in key markets Positive volume performance in 3 core products adjusting for weather impact Higher sequential prices: supported by micro-market increases in cement and fuel surcharges in ready-mix; aggregates prices up mid-single-digit vs. 4Q25 Infrastructure activity remains healthy, supported by ongoing IIJA spending I&amp;C growth from data centers and chip plants; ~35% of planned mega projects (&gt;$500M) in our footprint—plus rising power-sector investment Sixth Street Viaduct, Los Angeles, United States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Smetanova lávka (Smetana’s Footbridge), Litopmyšl, Czechia EMEA: Operational excellence and pricing driving results Europe MEA 2Q26 EBITDA Favorable one-off of $42 million in Sales and EBITDA Adjusting for one-off, YoY EBITDA growth of +9% with flat margin due to reduced operating leverage Geographic volume divergence: Spain and Czech Rep. cement volume growth partially offset softer markets CBAM and gradual reduction of free EU ETS allowances supporting cement pricing Middle East &amp; Africa’s strong growth led by Project Cutting Edge and pricing Millions of U.S. dollars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Pompey Estate, Portland, Jamaica SCAC: Cost discipline driving results Jamaica Colombia 2Q26 EBITDA Rest Double-digit EBITDA growth driven by disciplined cost and expense management Cement demand led by informal sector with hurricane reconstruction and tourism related projects in Jamaica Higher cement volumes in Colombia and Jamaica offsetting softer performance in other markets Positive outlook supported by resilient informal construction Millions of U.S. dollars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*EDITAR PARA QUE QUEDEN 3 FILAS - PETICIÓN DE LUCY Acum 2T26vs.2T25 2T26 vs. 2T25 2T26 vs. 1T26 Acum. 1T26vs.Acum. 1T25 1T26vs.1T25 1T26vs.4T25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1Q26vs.YTD 1Q25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0 2.2999999999999998 Leverage ratio2 0 0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19.556768963214182 -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1,152.3012916623625 1025 - Otros neto 1,152.3012916623625 - Others net TRUE Net debt variation YTD 1,266.772355481942 TRUE 2.0516151624061316 *** Variación de la deuda neta acumulada a Diciembre 2025 1,266.772355481942 Net debt variation YTD TRUE *** Net debt March 2026 6,224.4038899708612 -1,152.3012916623625 *** Deuda neta a Marzo 2026 6,224.4038899708612 Net debt Q TRUE Uses and Sources for waterfall - SEQUENTIAL Usos y fuentes para waterfall - SECUENCIAL *** Net debt December 2025 4,957.631534488919 *** Deuda neta a Diciembre 2025 4,957.631534488919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19.977341603214182 -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1,046.7749110175534 - Otros neto 1,046.7749110175534 - Others net TRUE Net debt sequential variation 675.21718760301655 TRUE 3.3062029094332033 *** Variación de la deuda neta secuencial a Diciembre 2025 675.21718760301655 Net debt variation SEQUENTIAL TRUE *** Net debt March 2026 5,632.848722091936 -,591.5551678789252 -1,046.7749110175534 *** Deuda neta a Marzo 2026 5,632.848722091936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1T26vs.Acum. 1T25 Acum. 1T26vs.Acum. 1T25 Acum. 1T26vs.Acum. 1T25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Developments Pelješac Bridge, Pelješac, Croatia Built with Vertua Concrete, part of our Vertua family of products with sustainable attributes.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Significant acceleration in Free Cash Flow generation and conversion Millions of U.S. dollars. FCF from Operations excluding severance payments and discontinued operations divided by EBITDA on a trailing twelve-month basis. Avg. WC days 2Q25 2Q26 Var. 1H25 1H26 Var. EBITDA 822 1,018 196 1,417 1,812 395 Net interest paid (103) (67) 36 (210) (157) 53 Maint. capex &amp; lease payments (208) (168) 41 (381) (312) 69 Working Capital (193) (49) 144 (677) (502) 175 Net taxes paid (77) (79) (1) (136) (144) (8) Other cash expenditures (79) (59) 19 (153) (90) 62 Sale of fixed assets 45 42 (3) 80 59 (20) FCF from discontinued operations (2) - 2 (6) - 6 FCF from Operations 204 637 433 (67) 666 732 pp Adj. FCF conversion1 Controlling Net Income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Gilbert Chabroux School, Lyon, France Built with Insularis, part of our Vertua family of products with sustainable attributes. 2026 Outlook</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EBITDA2 16% to 17% increase Energy cost/ton of cement produced Low-single digit % increase Maintenance CapEx ~$900 million Growth Investments ~$300 million Growth CapEx ~$210 million Inv. in Intangible Assets Investment in working capital $50 to $100 million investment Cash taxes ~$400 million Net interest paid3 $40 million reduction Outlook 20261 Reflects Cemex’s expectations as of July 23, 2026. Like-to-like for ongoing operations and assumes FX rate range of $18.25 to $18.50 MXN per USD for 2H 2026. Including the coupons of subordinated notes with no fixed maturity and the effect of our cross-currency and interest rate derivatives.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Appendix International Museum of Baroque, Puebla, Mexico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2026 volume guidance1: selected countries/regions Cement Ready-mix Aggregates Cemex Low-single digit increase Flat Low-single digit decrease Mexico Low to mid-single digit increase Flat Low-single digit increase USA Flat Flat Low-single digit increase EMEA Low-single digit decrease Flat Mid-single digit decrease Europe Low-single digit decrease Mid-single digit decrease Mid-single digit decrease MEA Low-single digit increase Mid-single digit increase Low-single digit increase SCAC Low-single digit increase Mid-single digit decrease N/A Reflects Cemex’s expectations as of July 23, 2026. All volume guidance in this slide means in percentage terms vs 2025. Guidance highlighted in green denotes an upward adjustment vs previous guidance; guidance highlighted in orange denotes a downward adjustment vs previous guidance.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Urbanization Solutions 22.8% Sales Concrete Products Mortars Asphalt Construction Chemicals By region YTD 2Q26 EBITDA margin 20.4% +2.4pp +8% l-t-l +20% l-t-l EBITDA Millions of U.S. dollars. Calzada del Valle, San Pedro Garza García, Mexico MEX US EMEA SCAC MEX US EMEA SCAC</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volumes and prices All price variations are based on FOB prices. Price (l-t-l) calculated on a volume-weighted average basis at constant foreign-exchange rates.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2Q26vs.YTD 2Q25 2Q26vs2Q25 2Q26vs.1Q26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1.8065621536664451 2.2999999999999998 Leverage ratio2 0 1.8065621536664451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1,153.546059423625 1025 - Otros neto 1,153.546059423625 - Others net TRUE Net debt variation YTD 1,267.525669761942 TRUE 2.0516151624061316 *** Variación de la deuda neta acumulada a Diciembre 2025 1,267.525669761942 Net debt variation YTD TRUE *** Net debt June 2026 6,225.1572042508615 -1,153.546059423625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1,047.5282252975535 - Otros neto 1,047.5282252975535 - Others net TRUE Net debt sequential variation 675.9705018830166 FALSE 3.3062029094332033 *** Variación de la deuda neta secuencial a Diciembre 2025 675.9705018830166 Net debt variation SEQUENTIAL TRUE *** Net debt June 2026 6,224.9705018830164 -0.18670236784510053 -1,047.5282252975535 *** Deuda neta a Junio 2026 6,224.9705018830164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2Q26vs.YTD 2Q25 2Q26vs2Q25 2Q26vs.1Q26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1.8065621536664451 2.2999999999999998 Leverage ratio2 0 1.8065621536664451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1,153.546059423625 1025 - Otros neto 1,153.546059423625 - Others net TRUE Net debt variation YTD 1,267.525669761942 TRUE 2.0516151624061316 *** Variación de la deuda neta acumulada a Diciembre 2025 1,267.525669761942 Net debt variation YTD TRUE *** Net debt June 2026 6,225.1572042508615 -1,153.546059423625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1,047.5282252975535 - Otros neto 1,047.5282252975535 - Others net TRUE Net debt sequential variation 675.9705018830166 FALSE 3.3062029094332033 *** Variación de la deuda neta secuencial a Diciembre 2025 675.9705018830166 Net debt variation SEQUENTIAL TRUE *** Net debt June 2026 6,224.9705018830164 -0.18670236784510053 -1,047.5282252975535 *** Deuda neta a Junio 2026 6,224.9705018830164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2Q26 volume and price summary All price variations are based on FOB prices. Price (LC) for EMEA, Europe, MEA, and SCAC calculated on a volume-weighted-average basis at constant foreign-exchange rates.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2Q26vs.YTD 2Q25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1.8065621536664451 2.2999999999999998 Leverage ratio2 0 1.8065621536664451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1,153.546059423625 1025 - Otros neto 1,153.546059423625 - Others net TRUE Net debt variation YTD 1,267.525669761942 TRUE 2.0516151624061316 *** Variación de la deuda neta acumulada a Diciembre 2025 1,267.525669761942 Net debt variation YTD TRUE *** Net debt June 2026 6,225.1572042508615 -1,153.546059423625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1,047.5282252975535 - Otros neto 1,047.5282252975535 - Others net TRUE Net debt sequential variation 675.9705018830166 FALSE 3.3062029094332033 *** Variación de la deuda neta secuencial a Diciembre 2025 675.9705018830166 Net debt variation SEQUENTIAL TRUE *** Net debt June 2026 6,224.9705018830164 -0.18670236784510053 -1,047.5282252975535 *** Deuda neta a Junio 2026 6,224.9705018830164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1Q26 vs. YTD 1Q25 2Q26 vs. 2Q25 2Q26 vs. 1Q26 *** Agregar manual el dato de VOLUME en la tab de "vol&amp;precio" del 1st delivery FOB YTD 2Q26vs.YTD 2Q25 1Q26vs1Q25 1Q26vs.4Q25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1.8065621536664451 2.2999999999999998 Leverage ratio2 0 1.8065621536664451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1,153.546059423625 1025 - Otros neto 1,153.546059423625 - Others net TRUE Net debt variation YTD 1,267.525669761942 TRUE 2.0516151624061316 *** Variación de la deuda neta acumulada a Diciembre 2025 1,267.525669761942 Net debt variation YTD TRUE *** Net debt June 2026 6,225.1572042508615 -1,153.546059423625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1,047.5282252975535 - Otros neto 1,047.5282252975535 - Others net TRUE Net debt sequential variation 675.9705018830166 FALSE 3.3062029094332033 *** Variación de la deuda neta secuencial a Diciembre 2025 675.9705018830166 Net debt variation SEQUENTIAL TRUE *** Net debt June 2026 6,224.9705018830164 -0.18670236784510053 -1,047.5282252975535 *** Deuda neta a Junio 2026 6,224.9705018830164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1Q26 vs. YTD 1Q25 YTD 1Q26 vs. YTD 1Q25 YTD 1Q26 vs. YTD 1Q25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YTD 2Q26 volume and price summary All price variations are based on FOB prices. Price (LC) for EMEA, Europe, MEA, and SCAC calculated on a volume-weighted-average basis at constant foreign-exchange rates.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2Q26 vs. YTD 2Q25 2Q26 vs. 2Q25 2Q26 vs. 1Q26 *** Agregar manual el dato de VOLUME en la tab de "vol&amp;precio" del 1st delivery FOB YTD 2Q26vs.YTD 2Q25 2Q26vs2Q25 2Q26vs.1Q26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1.8065621536664451 2.2999999999999998 Leverage ratio2 0 1.8065621536664451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1,153.546059423625 1025 - Otros neto 1,153.546059423625 - Others net TRUE Net debt variation YTD 1,267.525669761942 TRUE 2.0516151624061316 *** Variación de la deuda neta acumulada a Diciembre 2025 1,267.525669761942 Net debt variation YTD TRUE *** Net debt June 2026 6,225.1572042508615 -1,153.546059423625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1,047.5282252975535 - Otros neto 1,047.5282252975535 - Others net TRUE Net debt sequential variation 675.9705018830166 FALSE 3.3062029094332033 *** Variación de la deuda neta secuencial a Diciembre 2025 675.9705018830166 Net debt variation SEQUENTIAL TRUE *** Net debt June 2026 6,224.9705018830164 -0.18670236784510053 -1,047.5282252975535 *** Deuda neta a Junio 2026 6,224.9705018830164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2Q26 vs. YTD 2Q25 YTD 2Q26 vs. YTD 2Q25 YTD 2Q26 vs. YTD 2Q25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2Q26 vs. YTD 2Q25 2Q26 vs. 2Q25 2Q26 vs. 1Q26 *** Agregar manual el dato de VOLUME en la tab de "vol&amp;precio" del 1st delivery FOB YTD 2Q26vs.YTD 2Q25 2Q26vs2Q25 2Q26vs.1Q26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0 1.8065621536664451 2.2999999999999998 Leverage ratio2 0 1.8065621536664451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99.823262372025539 -934.02911869196146 -Programa de recompra de acciones 99.823262372025539 - Share buybacks TRUE - Others net 1,153.546059423625 1025 - Otros neto 1,153.546059423625 - Others net TRUE Net debt variation YTD 1,267.525669761942 TRUE 2.0516151624061316 *** Variación de la deuda neta acumulada a Diciembre 2025 1,267.525669761942 Net debt variation YTD TRUE *** Net debt June 2026 6,225.1572042508615 -1,153.546059423625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0 -988.81713517062701 -Programa de recompra de acciones 0 - Share buybacks TRUE - Others net 1,047.5282252975535 - Otros neto 1,047.5282252975535 - Others net TRUE Net debt sequential variation 675.9705018830166 FALSE 3.3062029094332033 *** Variación de la deuda neta secuencial a Diciembre 2025 675.9705018830166 Net debt variation SEQUENTIAL TRUE *** Net debt June 2026 6,224.9705018830164 -0.18670236784510053 -1,047.5282252975535 *** Deuda neta a Junio 2026 6,224.9705018830164 Net debt Q TRUE [Fin Op 1st Del_IQ_PricesFOB.xlsx]FLC AÑO ACTUAL' Fin Op 1st Del_IQ_PricesFOB FLC AÑO ACTUAL FLC AÑO ANTERIOR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2Q26 vs. YTD 2Q25 YTD 2Q26 vs. YTD 2Q25 YTD 2Q26 vs. YTD 2Q25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Net Debt Variation 2Q26 1) Others, net is largely explained by the change in outstanding balance under securitization programs, activities related to our stock compensation plan, and contributions to pension plans. 1 2026 Net Debt Waterfall (US$ M) Shareholder return: ~US$177 M QoQ Net Debt Waterfall (US$ M) 1 Shareholder return: ~US$45 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Average life of debt: 5.4 years Debt maturity profile as of June 30, 2026 Total debt1 as of June 30, 2026: $6,879 million Millions of U.S. dollars. 1) Total debt excluding subordinated notes. Fixed Income Other bank debt Main bank debt agreements Leases Total debt1 by instrument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Additional information on debt Currency3 denomination Interest rate3 Millions of U.S. dollars. Includes leases, in accordance with IFRS. Calculated based on Net debt plus subordinated notes. Includes the effect of our interest rate and cross-currency derivatives, as applicable.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2Q26 vs. YTD 2Q25 2Q26 vs. 2Q25 2Q26 vs. 1Q26 *** Agregar manual el dato de VOLUME en la tab de "vol&amp;precio" del 1st delivery FOB YTD 2Q26vs.YTD 2Q25 2Q26vs2Q25 2Q26vs.1Q26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80.396552465489833 -Programa de recompra de acciones 99.823262372025539 - Share buybacks TRUE - Repayment of subordinated notes 1,000 -14.425671157451241 -Pago de notas subordinadas 1,000 - Repayment of subordinated notes TRUE - Others net 153.05460594236246 - Otros neto 153.05460594236246 - Others net TRUE Net debt variation YTD 1,267.525669761942 TRUE 2.0516151624061316 *** Variación de la deuda neta acumulada a Diciembre 2025 1,267.525669761942 Net debt variation YTD TRUE *** Net debt June 2026 6,225.1572042508615 -,153.5460594236246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43.968320894959312 -Programa de recompra de acciones 0 - Share buybacks TRUE - Repayment of subordinated notes 1,000 -32.785456065586331 -Pago de notas subordinadas 1,000 - Repayment of subordinated notes TRUE - Others net 47.528225297553504 - Otros neto 47.528225297553504 - Others net TRUE Net debt sequential variation 675.9705018830166 FALSE 3.3062029094332033 *** Variación de la deuda neta secuencial a Diciembre 2025 675.9705018830166 Net debt variation SEQUENTIAL TRUE *** Net debt June 2026 6,224.9705018830164 -0.18670236784510053 -47.528225297553504 *** Deuda neta a Junio 2026 6,224.9705018830164 Net debt Q TRUE [Fin Op 1st Del_IQ_PricesFOB.xlsx]FLC AÑO ACTUAL' Fin Op 1st Del_IQ_PricesFOB FLC AÑO ACTUAL FLC AÑO ANTERIOR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2.72 2.08 2.2999999999999998 Leverage ratio2 2.72 2.08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2Q26 vs. YTD 2Q25 YTD 2Q26 vs. YTD 2Q25 YTD 2Q26 vs. YTD 2Q25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 *EDITAR PARA QUE QUEDEN 3 FILAS - PETICIÓN DE LUCY Acum 2T26vs.2T25 2T26 vs. 2T25 2T26 vs. 1T26 Acum. 2T26vs.Acum. 2T25 2T26vs.2T25 2T26vs.1T26 Cemento gris doméstico Volumen 8.4857051925528726E-3 8.7985101715182257E-3 0.110976982539577 Precio (USD) 9.4759448096992882E-2 7.841586162048686E-2 6.3894239747673979E-3 Precio (comp) 2.7668672620910995E-2 3.0615378283743944E-2 6.2689306133519099E-3 Concreto Volumen -1.1545431062648159E-2 4.2981469731657729E-3 7.431611006298966E-2 Precio (USD) 7.531328370662102E-2 6.3017156742116234E-2 2.3086693855421513E-2 Precio (comp) 1.4132314402871993E-2 1.3311963363457968E-2 1.3593651194086103E-2 Agregados Volumen -6.7022299442606181E-3 -1.6482245633785642E-2 9.2600734627089398E-2 Precio (USD) 8.1731528306289838E-2 6.6191080976589142E-2 1.8011256308989983E-2 Precio (comp) 4.1299991361793742E-2 3.8503211569552054E-2 1.3102572451959798E-2 YTD 2Q26 vs. YTD 2Q25 2Q26 vs. 2Q25 2Q26 vs. 1Q26 *** Agregar manual el dato de VOLUME en la tab de "vol&amp;precio" del 1st delivery FOB YTD 2Q26vs.YTD 2Q25 2Q26vs2Q25 2Q26vs.1Q26 Domestic gray cement Volume 8.4857051925528726E-3 8.7985101715182257E-3 0.110976982539577 Price (USD) 9.4759448096992882E-2 7.841586162048686E-2 6.3894239747673979E-3 Price (l-t-l) 2.7668672620910995E-2 3.0615378283743944E-2 6.2689306133519099E-3 Ready mix Volume -1.1545431062648159E-2 4.2981469731657729E-3 7.431611006298966E-2 Price (USD) 7.531328370662102E-2 6.3017156742116234E-2 2.3086693855421513E-2 Price (l-t-l) 1.4132314402871993E-2 1.3311963363457968E-2 1.3593651194086103E-2 Aggregates Volume -6.7022299442606181E-3 -1.6482245633785642E-2 9.2600734627089398E-2 Price (USD) 8.1731528306289838E-2 6.6191080976589142E-2 1.8011256308989983E-2 Price (l-t-l) 4.1299991361793742E-2 3.8503211569552054E-2 1.3102572451959798E-2 Validación Cemento gris doméstico 0 0 0 0 0 0 0 0 0 Concreto 0 0 0 0 0 0 0 0 0 Agregados 0 0 0 0 0 0 0 0 0 First Quarter Second Quarter 2026 % of total 2025 % of total 2026 % of total Fixed Income #N/A #N/A 3806.7089732965333 0.55000341636537597 #N/A #N/A Main Bank Debt Agreements #N/A #N/A 1828.6347950378668 0.26420600881513195 #N/A #N/A Leases #N/A #N/A #REF! #REF! #N/A #N/A Other #N/A #N/A 0 0 #N/A #N/A Total Debt #N/A #REF! #N/A | Primer Trimestre Segundo Trimestre 2026 % del total 2025 % del total 2026 % del total Renta Fija #N/A #N/A 3806.7089732965333 0.55000341636537597 #N/A #N/A Principales Contratos de Deuda Bancaria #N/A #N/A 1828.6347950378668 0.26420600881513195 #N/A #N/A Arrendamientos #N/A #N/A #REF! #REF! #N/A #N/A Otros #N/A #N/A #N/A #N/A Deuda Total #N/A #REF! #REF! #N/A OJO: Información viene del data bridge CHECK VALUES CHANGED TO REACH 100% 6M26 6M25 2T26 2T25 6M26 vs. 6M25 2T26 vs. 2T25 6M26 6M25 2Q26 2T25 6M26 vs. 6M25 2Q26 vs. 2Q25 6M26 2Q26 Ventas Netas 2510.72393109 2496.2737755600001 1314.7827672200001 1305.9780705400001 Cemento Volumen -5.0337022102115705E-3 -1.1512124043544171E-3 Net Sales 2510.72393109 2496.2737755600001 1314.7827672200001 1305.9780705400001 Cement Volume -5.0337022102115705E-3 -1.1512124043544171E-3 Net Sales 2T26 #REF! % var (comp) 5.7886901955529453E-3 6.7418411370104075E-3 Precio (ML) -2.4352911304466294E-2 -1.8691389146915031E-2 % var (l-t-l) 5.7886901955529453E-3 6.7418411370104075E-3 Price (LC) -2.4352911304466294E-2 -1.8691389146915031E-2 % var (l-t-l) 0 Acum.2T26 Flujo de Operación 438.12372956999997 468.28160853000003 248.20716983999998 278.53680885 Concreto Volumen 1.6624644027637583E-3 -1.7391168053643768E-2 Operating EBITDA 438.12372956999997 468.28160853000003 248.20716983999998 278.53680885 Ready mix Volume 1.6624644027637583E-3 -1.7391168053643768E-2 Operating EBITDA 1314.7827672200001 2510.72393109 % var (comp) -6.440116035022124E-2 -0.10888915951619652 Precio (ML) -1.3297891473381455E-2 -1.1961076361657339E-3 % var (l-t-l) -6.440116035022124E-2 -0.10888915951619652 Price (LC) -1.3297891473381455E-2 -1.1961076361657339E-3 % var (l-t-l) 6.7418411370104075E-3 5.7886901955529453E-3 Margen Flujo de Operación 0.17450095733137572 0.1875922477393123 0.18878188551620098 0.21327832000642222 Agregados Volumen 4.8544462633062606E-2 1.3533766708244879E-2 Operating EBITDA margin 0.17450095733137572 0.1875922477393123 0.18878188551620098 0.21327832000642222 Aggregates Volume 4.8544462633062606E-2 1.3533766708244879E-2 Operating EBITDA margin 248.20716983999998 438.12372956999997 var pp -1.3000000000000012 -2.3999999999999995 Precio (ML) 2.1569436553612931E-2 2.0084833784776421E-2 pp var -1.3000000000000012 -2.3999999999999995 Price (LC) 2.1569436553612931E-2 2.0084833784776421E-2 pp var -0.10888915951619652 -6.440116035022124E-2 2T26 6M25 Acum.2T26 2T25 2Q26 6M25 YTD2Q26 2T25 Ventas 1314.7827672200001 2496.2737755600001 2510.72393109 1305.9780705400001 Sales 1314.7827672200001 2496.2737755600001 2510.72393109 1305.9780705400001 % var (comp) 6.7418411370104075E-3 5.7886901955529453E-3 % YoY (l-t-l) 6.7418411370104075E-3 5.7886901955529453E-3 EBITDA 248.20716983999998 468.28160853000003 438.12372956999997 278.53680885 EBITDA 248.20716983999998 468.28160853000003 438.12372956999997 278.53680885 % var (comp) -0.10888915951619652 -6.440116035022124E-2 % YoY (l-t-l) -0.10888915951619652 -6.440116035022124E-2 Margen EBITDA 0.18878188551620098 0.1875922477393123 0.17450095733137572 0.21327832000642222 EBITDA margin 0.18878188551620098 0.1875922477393123 0.17450095733137572 0.21327832000642222 var pp -2.3999999999999995 -1.3000000000000012 pp var -2.3999999999999995 -1.3000000000000012 5.54 x 14.48 January - June l-t-l Second Quarter l-t-l Validación 2025 2026 % var %var 2025 2026 % var %var Flujo de operación TRUE TRUE TRUE TRUE TRUE TRUE EBITDA 3149.5001339549294 3078.9401325676067 -2.2403555607638036E-2 0.19764239014598101 705.12238818679339 680.73380214644612 -3.4587734624427359E-2 0.17755511651075481 - Gasto financiero neto TRUE TRUE TRUE TRUE TRUE TRUE - Net Financial Expense 583.92695722719589 592.84729758631363 147.13496688273503 137.12231459534183 - Inversiones en activo fijo de TRUE TRUE TRUE TRUE TRUE TRUE - Maintenance Capex 966.80276954559997 1,016.3174240883461 389.38612606125616 462.52883593382779 mantenimiento TRUE TRUE TRUE TRUE TRUE TRUE - Change in Working Capital 25.95769886770529 -,215.336507358196 -,390.8508350392356 -,629.81370858801256 - Inversiones en capital de trabajo TRUE TRUE TRUE TRUE TRUE TRUE - Taxes Paid 501.3314319056239 871.516018726531 43.988128206979027 59.685521668776289 - Impuestos TRUE TRUE TRUE TRUE TRUE TRUE - Other Cash Items (net) 17.037401497786394 63.820341679594506 35.658253191795907 -6.1064490344325062 - Otros gastos TRUE TRUE TRUE TRUE TRUE TRUE - Free Cash Flow -,153.68212529466757 -,120.66182703324888 -31.798260463640073 -18.423729289517556 - Flujo de efectivo libre de TRUE TRUE TRUE TRUE TRUE TRUE Discontinued Operations operaciones discontinuas Free Cash Flow after 1,208.1260002056852 870.1042425936522 -0.27979015231398402 510.83825781159089 675.74101686046288 0.32280816193232731 Flujo de efectivo libre después TRUE TRUE #DIV/0! TRUE TRUE #DIV/0! Maintenance Capex de inv AF mtto - Strategic Capex 420.46953634529115 491.89265870054516 108.0994399904782 163.92648972244464 - Inversiones en activo fijo FALSE TRUE TRUE FALSE TRUE TRUE - Strategic Capex 0 82.64329518558857 0 20.968298961953913 estratégicas Discontinued Operations - Inversiones en activo fijo estratégicas TRUE TRUE TRUE TRUE TRUE TRUE Free Cash Flow 787.65646386039396 378.21158389310705 -0.5198267249157722 402.73881782111266 511.81452713801821 0.27083485497381199 de operaciones discontinuas Flujo de efectivo libre TRUE TRUE TRUE TRUE TRUE TRUE OJO: Si en alguno de los dos años existe un flujo negativo el % var es = N/A Enero - Junio %var Segundo Trimestre %var OJO: Validar los signos de las variaciones 2025 2026 % var comp 2025 2026 % var comp OJO: Verificar que el other cash items cuadre con el balance general*** Flujo de operación 3149.5001339549294 3078.9401325676067 -2.2403555607638036E-2 0.19764239014598101 705.12238818679339 680.73380214644612 -3.4587734624427359E-2 0.17755511651075481 - Gasto financiero neto 583.92695722719589 592.84729758631363 147.13496688273503 137.12231459534183 - Inversiones en activo fijo de 966.80276954559997 1,016.3174240883461 389.38612606125616 462.52883593382779 mantenimiento - Inversiones en capital de trabajo 25.95769886770529 -,215.336507358196 -,390.8508350392356 -,629.81370858801256 - Impuestos 501.3314319056239 871.516018726531 43.988128206979027 59.685521668776289 - Otros gastos 17.037401497786394 63.820341679594506 35.658253191795907 -6.1064490344325062 - Flujo de efectivo libre de -,153.68212529466757 -,120.66182703324888 -31.798260463640073 -18.423729289517556 operaciones discontinuas Flujo de efectivo libre después 1,208.1260002056852 870.1042425936522 -0.27979015231398402 510.83825781159089 675.74101686046288 0.32280816193232731 de inv AF mtto #DIV/0! #DIV/0! - Inversiones en activo fijo 420.46953634529115 491.89265870054516 108.0994399904782 163.92648972244464 estratégicas - Inversiones en activo fijo estratégicas 0 82.64329518558857 0 20.968298961953913 de operaciones discontinuas Flujo de efectivo libre 787.65646386039396 378.21158389310705 -0.5198267249157722 402.73881782111266 511.81452713801821 0.27083485497381199 FREE CASH FLOW Data from Consolidated Financial Statements Q2 2 1 ESPAÑOL CHECK January - June Second Quarter Enero - Junio Segundo Trimestre 2025 2026 % var 2025 2026 % var 2025 2026 % var 2025 2026 % var Operating earnings before other expenses, net 784.75260818126105 1,133.3315371159861 0.444189576817833 494.52040431412297 680.64265308335905 0.37636919962358095 Resultado de operación antes de otros gastos, neto 784.75260818126105 1,133.3315371159861 0.444189576817833 494.52040431412297 680.64265308335905 0.37636919962358095 Operating earnings before other expenses, net TRUE TRUE TRUE TRUE TRUE TRUE TRUE Depreciation and amortization of assets 632.02226797861488 678.63043767913052 327.30555680896538 337.03952387808533 Depreciación y amortización de activos 632.02226797861488 678.63043767913052 327.30555680896538 337.03952387808533 Depreciation and amortization of assets TRUE TRUE TRUE TRUE TRUE TRUE TRUE Operating EBITDA 1,416.7748761598759 1,811.9619747951165 0.27893429315064 821.82596112308829 1,017.6821769614444 0.23831836070340673 195.85621583835609 Flujo de operación 1,416.7748761598759 1,811.9619747951165 0.27893429315064 821.82596112308829 1,017.6821769614444 0.23831836070340673 Operating EBITDA TRUE TRUE TRUE TRUE TRUE TRUE TRUE Net Interest Paid -,209.97951588928123 -,156.871768116346 -,103.16274008190048 -67.267794166024572 35.894945915875908 Interés neto pagado -,209.97951588928123 -,156.871768116346 -,103.16274008190048 -67.267794166024572 Net interest paid TRUE TRUE TRUE TRUE TRUE TRUE TRUE Maintenance capital expenditures &amp; lease payments -,381.39895747287642 -,311.91979231651214 -,208.42487306750772 -,167.81456795588164 40.610305111626076 Inversiones en activo fijo de mantenimiento y pagos de arrendamientos -,381.39895747287642 -,311.91979231651214 -,208.42487306750772 -,167.81456795588164 Maintenance capital expenditures (w/o leases) TRUE TRUE TRUE TRUE TRUE TRUE TRUE Change in working capital -,677.2206538442872 -,502.36214072093571 -,193.29103042404651 -49.374591359024585 143.91643906502193 Cambio en inversión de capital de trabajo -,677.2206538442872 -,502.36214072093571 -,193.29103042404651 -49.374591359024585 Change in working capital TRUE TRUE TRUE TRUE TRUE TRUE TRUE Net Taxes Paid -,136.3977822256797 -,143.98098682251072 -77.118440880026569 -78.604251620727254 -1.4858107407006855 Impuestos netos pagados -,136.3977822256797 -,143.98098682251072 -77.118440880026569 -78.604251620727254 Net taxes paid TRUE TRUE TRUE TRUE TRUE TRUE TRUE Other cash expenditures -,152.74070872459555 -90.430046403117998 -78.664511063637619 -59.49317400227276 19.171337061364859 Otros gastos -,152.74070872459555 -90.430046403117998 -78.664511063637619 -59.49317400227276 Other cash expenditures TRUE TRUE TRUE TRUE TRUE TRUE TRUE Proceeds from sales of fixed assets 79.705378013705783 59.446558934805722 44.528351336582048 41.840109464643106 -2.688241871938942 Ingresos de la venta de activo fijo 79.705378013705783 59.446558934805722 44.528351336582048 41.840109464643106 Proceeds from sales of fixed assets TRUE TRUE TRUE TRUE TRUE TRUE TRUE Free cash flows from discontinued operations -5.6200380435065895 0 -1.8241631970032115 0 1.8241631970032115 Flujo de efectivo libre de operaciones discontinuas -5.6200380435065895 0 -1.8241631970032115 0 Free cash flows from discontinued operations TRUE TRUE TRUE TRUE TRUE TRUE TRUE Free cash Flow from Operations -66.519398023533313 665.84379935049969 -11.009768866443089 203.86855374554818 636.96790732215663 2.1244048953089996 433.09935357660845 Flujo de efectivo libre de operaciones -66.519398023533313 665.84379935049969 -11.009768866443089 203.86855374554818 636.96790732215663 2.1244048953089996 Free cash flow from operations TRUE TRUE TRUE TRUE TRUE TRUE TRUE -,838.77843712262211 -4.6951282905179734E-2 0.3674711768859214 0.24806779463007733 0.62590062176778072 -4.2984500222853002E-2 0.46846667378131973 CHECK Uses and Sources for waterfall - Year-to-Date Usos y fuentes para waterfall - Year-to-Date *** Uses and Sources for waterfall *** Net debt December 2025 4,957.631534488919 *** Deuda neta a Diciembre 2025 4,957.631534488919 Net debt December TRUE Free Cash Flow from Operations (effect on Net Debt) -,665.84379935049969 Flujo de efectivo libre de operaciones (efecto en la Deuda Neta) -,665.84379935049969 Free cash flow from operations TRUE - Growth capital expenditures* 155.62795899913721 Others - Inversiones en activo fijo de crecimiento* 155.62795899913721 - Growth capital expenditures* TRUE - Acquisitions and divestments 258.56639177117904 18.803454683214181 - Adquisiciones y ventas de activos 258.56639177117904 - Acquisitions and divestments TRUE - Investments in intangible assets 70.377930868115982 -101.30856579082808 - Inversiones en activo intangible 70.377930868115982 - Investments in intangible assets TRUE - Coupons on subordinated notes 77.000000010000008 -48.494983277591963 - Cupones en notas subordinadas 77.000000010000008 - Coupons on subordinated notes TRUE - Contributions to pension plan 42.32843226254802 -41.277199696659423 -Contribuciones al pland de pensiones 42.32843226254802 - Contributions to pension plan TRUE - Dividends 76.590886887073339 -48.799808330941886 - Dividendos 76.590886887073339 - Dividends TRUE - Share buybacks 99.823262372025539 80.396552465489833 -Programa de recompra de acciones 99.823262372025539 - Share buybacks TRUE - Repayment of subordinated notes 1,000 -14.425671157451241 -Pago de notas subordinadas 1,000 - Repayment of subordinated notes TRUE - Others net 153.05460594236246 - Otros neto 153.05460594236246 - Others net TRUE Net debt variation YTD 1,267.525669761942 TRUE 2.0516151624061316 *** Variación de la deuda neta acumulada a Diciembre 2025 1,267.525669761942 Net debt variation YTD TRUE *** Net debt June 2026 6,225.1572042508615 -,153.5460594236246 *** Deuda neta a Junio 2026 6,225.1572042508615 Net debt Q TRUE Uses and Sources for waterfall - SEQUENTIAL Usos y fuentes para waterfall - SECUENCIAL *** Net debt March 2025 5,549 *** Deuda neta a Marzo 2025 5,549 Net debt SEQUENTIAL TRUE Free Cash Flow from Operations (effect on Net Debt) -,636.96790732215663 Flujo de efectivo libre de operaciones (efecto en la Deuda Neta) -,636.96790732215663 Free cash flow from operations TRUE - Growth capital expenditures* 106.89333967843612 Others - Inversiones en activo fijo de crecimiento* 106.89333967843612 - Growth capital expenditures* TRUE - Acquisitions and divestments 59.453605905648416 19.22402732321418 - Adquisiciones y ventas de activos 59.453605905648416 - Acquisitions and divestments TRUE - Investments in intangible assets 33.219348239586196 -44.398527449217909 - Inversiones en activo intangible 33.219348239586196 - Investments in intangible assets TRUE - Coupons on subordinated notes 15.375 0 - Cupones en notas subordinadas 15.375 - Coupons on subordinated notes TRUE - Contributions to pension plan 5.9055815684029795 -8.4544813427178145 -Contribuciones al pland de pensiones 5.9055815684029795 - Contributions to pension plan TRUE - Dividends 44.563308515546034 -28.388311567638144 - Dividendos 44.563308515546034 - Dividends TRUE - Share buybacks 0 43.968320894959312 -Programa de recompra de acciones 0 - Share buybacks TRUE - Repayment of subordinated notes 1,000 -32.785456065586331 -Pago de notas subordinadas 1,000 - Repayment of subordinated notes TRUE - Others net 47.528225297553504 - Otros neto 47.528225297553504 - Others net TRUE Net debt sequential variation 675.9705018830166 FALSE 3.3062029094332033 *** Variación de la deuda neta secuencial a Diciembre 2025 675.9705018830166 Net debt variation SEQUENTIAL TRUE *** Net debt June 2026 6,224.9705018830164 -0.18670236784510053 -47.528225297553504 *** Deuda neta a Junio 2026 6,224.9705018830164 Net debt Q TRUE [Fin Op 1st Del_IQ_PricesFOB.xlsx]FLC AÑO ACTUAL' Fin Op 1st Del_IQ_PricesFOB FLC AÑO ACTUAL FLC AÑO ANTERIOR As it is To be New file File (Original) Name of Sheet(s) Sheet(s) renamed Comments Fin Op 1st Del_IIIQ Volumenes y Precios (Contraloria) IIIQ 2020.xls vol&amp;precio vol&amp;precio Replaced name RES VOL&amp;PRE RES VOL&amp;PRE VOL&amp;PRI ACUM. VOL&amp;PRI ACUM. Margin by product IIIQ.xlsx cemex Margin by product Comparable.xlsx Proforma Proforma Secuencial_cem Secuencial_cem Secuencial_con Secuencial_con Secuencial_agg Secuencial_agg FLC A Terceros.xls Sheet 1 FLC Terceros Replaced name, New cells: Columna C para trimestres, Columna D para acumulados Tabla Resultados Trimestrales.xlsx Sheet1 Tablas Resultados Trimestrales VALIDACION OPERATIVA IIIQ 2020.xls VOL, P-LOC, P-USD, Summary PY, Summary, CEM Vol, CEM Price USD, RMX Vol, RMX Price USD, AGG Vol, AGG Price USD VOL, P-LOC, P-USD, Summary PY, Summary, CEM Vol, CEM Price USD, RMX Vol, RMX Price USD, AGG Vol, AGG Price USD Replaced name Liberación Operativa IIIQ 2020 VOL-ENG, PRICE-ENG, PRICE2-ENG VOL Religar información. P-USD P-LOC QUARTERLY RESULTS.pptx Ppt Quarterly Results Volumes Quarterly Results Prices Cost percentage.xlsx Tablas CX (Q) Tablas CX (Q) Tablas CX (YTD) Tablas CX (YTD) Impacto EBITDA Clinker Cemento Comprado.xlsx CLK CLK Q CEM CEM Q Tipos de cambio 2020 VS 2019.xlsx TC AVERAGE TC AVERAGE Estadístico Saldos y Días 2008-2012 WC CMX Integración WC IIIQ 20 vs 19.xlsx TABLA DIAS vs ANT INTEG WC QTR Días Variación WC Regiones Qs &amp; Acum.xlsx Sheet 1 WC Saldos Regiones Integración WC Acum 20 vs 19.xlsx TABLA DIAS vs ANT INTEG WC YTD Días Flujo 2020 Septiembre_Envío Flujo de Caja 2020 FLC 2020 Fin Op 2nd Del_IIIQ File (Original) Name of Sheet(s) Sheet(s) renamed Comments 3Q 2020 cascada.xlsx Sheet 1 EBITDA cascada Financieros IIIQ.xlsx CXEsp-US CXEsp-US Replaced name SUMM-Esp1 SUMM-Esp1 SUMM-Esp1NEW SUMM-Esp1NEW SUMM-Esp2 SUMM-Esp2 SUMM-Esp2NEW SUMM-Esp2NEW CXEng-US CXEng-US SUMM-Eng1NEW SUMM-Eng1NEW SUMM-Eng2NEW SUMM-Eng2NEW Tabla países IIIQ 2020 – 2019 – Nueva Region.xlsx 3Q YTD CY YTD CY Summary Summary Summary FY Summary FY FX 3Q 2020.xlsx Sheet 1 FX Total DEBT – Funded Debt.xlsx Tabla Total Debt &amp; Funded Debt Financial Obligation Sep 2020.xlsx Sheet 1 Financial Obligation Replaced name, Changed values, check Acciones Promedio Circulacion IIIQ2020.xls 2015 Acciones promedio Utilidad por Acción IIIQ20.xls 44075 Utilidad por acción CY Sep 2019 (Op Disc) Utilidad por acción PY HC CX BMV Sep 2020.xlsx Nuevo Formato HC CX BMV HC Prev Quarter No existe este archivo, la información está incluida en HC CX BMV Xxx 20XX.xls 6M26 6M25 2T26 2T25 6M26 vs. 6M25 2T26 vs. 2T25 6M26 6M25 2Q26 2T25 6M26 vs. 6M25 2Q26 vs. 2Q25 Ventas Netas 2566.91794310966 2040.92501473424 1311.4686993555799 1059.64266709446 Cemento Volumen 6.6155055315742492E-2 7.2391992039596148E-2 Net Sales 2566.91794310966 2040.92501473424 1311.4686993555799 1059.64266709446 Cement Volume 6.6155055315742492E-2 7.2391992039596148E-2 % var (comp) 0.10652959722124893 0.11988805068637857 Precio (ML) 6.0326589455618494E-2 6.3569734455191818E-2 % var (l-t-l) 0.10652959722124893 0.11988805068637857 Price (LC) 6.0326589455618494E-2 6.3569734455191818E-2 Flujo de Operación 944.55998219131857 655.10897113282488 491.33025141408518 346.87457467852676 Concreto Volumen -3.9425066619959467E-2 -1.6861130733510404E-2 Operating EBITDA 944.55998219131857 655.10897113282488 491.33025141408518 346.87457467852676 Ready mix Volume -3.9425066619959467E-2 -1.6861130733510404E-2 % var (comp) 0.2572680592781118 0.27255002840876535 Precio (ML) 2.635762618336731E-2 1.7268665624843617E-2 % var (l-t-l) 0.2572680592781118 0.27255002840876535 Price (LC) 2.635762618336731E-2 1.7268665624843617E-2 Margen Flujo de Operación 0.36797435801436001 0.32098630101710535 0.37464123364553914 0.32735051678284793 Agregados Volumen 4.7416336016359854E-2 3.8289425451352589E-2 Operating EBITDA margin 0.36797435801436001 0.32098630101710535 0.37464123364553914 0.32735051678284793 Aggregates Volume 4.7416336016359854E-2 3.8289425451352589E-2 var pp 4.6999999999999984 4.7999999999999989 Precio (ML) 4.0427396487914082E-2 4.793530591598838E-2 pp var 4.6999999999999984 4.7999999999999989 Price (LC) 4.0427396487914082E-2 4.793530591598838E-2 2T26 6M25 Acum.2T26 2T25 2Q26 6M25 YTD2Q26 2T25 Ventas 1311.4686993555799 2040.92501473424 2566.91794310966 1059.64266709446 Sales 1311.4686993555799 2040.92501473424 2566.91794310966 1059.64266709446 % var (comp) 0.11988805068637857 0.10652959722124893 % YoY (l-t-l) 0.11988805068637857 0.10652959722124893 EBITDA 491.33025141408518 655.10897113282488 944.55998219131857 346.87457467852676 EBITDA 491.33025141408518 655.10897113282488 944.55998219131857 346.87457467852676 % var (comp) 0.27255002840876535 0.2572680592781118 % YoY (l-t-l) 0.27255002840876535 0.2572680592781118 Margen EBITDA 0.37464123364553914 0.32098630101710535 0.36797435801436001 0.32735051678284793 EBITDA margin 0.37464123364553914 0.32098630101710535 0.36797435801436001 0.32735051678284793 var pp 4.7999999999999989 4.6999999999999984 pp var 4.7999999999999989 4.6999999999999984 5.72 x 14.48 5.54 x 14.48 SIZE OF CHARTS for PPT Height: 2.25" Width: 5.6" Domestic gray cement Ready mix Aggregates YTD 3Q23 vs. YTD 3Q22 YTD 3Q23 vs. YTD 3Q22 YTD 3Q23 vs. YTD 3Q22 YTD 3Q23 vs. YTD 3Q22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Europe -4.8936735651140803E-2 5.0630572496988338E-2 9.6642321883088373E-3 0 -6.245624036056293E-2 7.0658825861128913E-2 2.2026613673111289E-2 0 -7.0978396964098925E-2 7.965672693654767E-2 4.1802505306399028E-2 Israel N/A N/A N/A 0 8.1413448050002835E-2 0.23910723139335596 4.3400498819695946E-2 0 -3.2204559421903697E-3 0.26989369721271578 7.0949031992708744E-2 Philippines -7.444546664957391E-2 2.8680514939277865E-2 -1.3775024249742257E-2 0 -8.5445095442564151E-2 4.3056569677170677E-2 1.1395600793510134E-3 0 -7.4274891923832603E-2 7.8637107788081084E-2 3.8009412240881904E-2 Colombia 0 0 0 0 0 0 0 0 0 0 0 Panama 2.4251498129627531E-2 0.11664892661108196 5.8031489380202882E-2 0 -6.3699893311076422E-2 0.15762990409716454 9.4908551265199148E-2 0 3.7434223028974853E-2 0.16874518266657396 0.10814256520624273 Dominican Republic 0 0 0 0 0 0 0 0 N/A N/A N/A Cemento gris doméstico Concreto Agregados 0 0 0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1.6624644027637583E-3 -1.3297891473384719E-2 -1.3297891473384719E-2 4.8543117504891251E-2 2.1570747078481941E-2 2.1570747078481941E-2 Europa -4.8936735651140803E-2 5.0630572496988338E-2 9.6642321883088373E-3 -6.245624036056293E-2 7.0658825861128913E-2 2.2026613673111289E-2 -7.0978396964098925E-2 7.965672693654767E-2 4.1802505306399028E-2 Israel N/A N/A N/A 8.1413448050002835E-2 0.23910723139335596 4.3400498819695946E-2 -3.2204559421903697E-3 0.26989369721271578 7.0949031992708744E-2 Filipinas -7.444546664957391E-2 2.8680514939277865E-2 -1.3775024249742257E-2 0 -8.5445095442564151E-2 4.3056569677170677E-2 1.1395600793510134E-3 0 -7.4274891923832603E-2 7.8637107788081084E-2 3.8009412240881904E-2 Colombia 0 0 0 0 0 0 0 0 0 Panamá 2.4251498129627531E-2 0.11664892661108196 5.8031489380202882E-2 -6.3699893311076422E-2 0.15762990409716454 9.4908551265199148E-2 3.7434223028974853E-2 0.16874518266657396 0.10814256520624273 República Dominicana 0 0 0 0 0 0 N/A N/A N/A Validación México 0 0 0 0 0 0 0 0 0 Estados Unidos 0 0 0 0 0 0 0 0 0 Europa 0 0 0 0 0 0 0 0 0 Israel N/A N/A N/A 0 0 0 0 0 0 Filipinas 0 0 0 N/A N/A N/A N/A N/A N/A Colombia 0 0 0 0 0 0 0 0 0 Panamá 0 0 0 0 0 0 0 0 0 República Dominicana 0 0 0 0 0 0 N/A N/A N/A Quarter 2Q Current Q Current Quarter Quarter Capital letters Previous Quarter Previous Q Year Previous Quarter Year to Date YTD Months Balance sheet Date Year 2026 1Q 1T First Quarter Primer Trimestre FIRST QUARTER PRIMER TRIMESTRE Fourth Quarter Cuarto Trimestre 4Q 4T 2025 January - March Enero - Marzo 3M as of March 31 al 31 de marzo 2Q 2T Second Quarter Segundo Trimestre SECOND QUARTER SEGUNDO TRIMESTRE First Quarter Primer Trimestre 1Q 1T 2026 January - June Enero - Junio 6M as of June 30 al 30 de junio ENGLISH ESPAÑOL 3Q 3T Third Quarter Tercer Trimestre THIRD QUARTER TERCER TRIMESTRE Second Quarter Segundo Trimestre 2Q 2T 2026 January - September Enero - Septiembre 9M as of September 30 al 30 de septiembre Current Q 2Q 2T 4Q 4T Fourth Quarter Cuarto Trimestre FOURTH QUARTER CUARTO TRIMESTRE Third Quarter Tercer Trimestre 3Q 3T 2026 January - December Enero - Diciembre 20 as of December 31 al 31 de diciembre Current Quarter Second Quarter Segundo Trimestre Current Quarter Capital letters SECOND QUARTER SEGUNDO TRIMESTRE Years drop down list Yr Current Yr 26 2016 16 Current Q Current Yr 2Q26 2T26 2017 17 Previous Year 2025 2018 18 Previous Yr 25 2019 19 Previous Quarter First Quarter Primer Trimestre 2020 20 Previous Q 1Q 1T 2021 21 Year Previous Quarter 2026 2022 22 Yr Previous Quarter 26 2023 23 Previous Quarter 1Q26 1T26 2024 24 Current Q Previous Yr 2Q25 2T25 2025 25 YTD Months 6M 2026 26 YTD January - June Enero - Junio 2027 27 Date Balance Sheet as of June 30 al 30 de junio YTD Months Current Yr 6M26 YTD Months Previous Yr 6M25 Current Year vs. Previous Year 2026 vs. 2025 Current Q (Current Yr vs. Previous Yr) 2Q26 vs. 2Q25 2T26 vs. 2T25 Current Q vs. Previous Q 2Q26 vs. 1Q26 2T26 vs. 1T26 YTD Months (Current Year Vs. Prev Year) 6M26 vs. 6M25 January - June Second Quarter Enero - Junio Segundo Trimestre 2025 2026 % var l-t-l 2025 2026 % var l-t-l 2025 2026 % var % var 2025 2026 % var % var % var % var comp comp Net sales 7706.7540217700007 8612.5098422299998 0.11752753726165706 5.2606981287695677E-2 4092.5357775400003 4593.4157419399999 0.12238865867681578 7.393887351463227E-2 Ventas netas 7706.7540217700007 8612.5098422299998 0.11752753726165706 5.2606981287695677E-2 4092.5357775400003 4593.4157419399999 0.12238865867681578 7.393887351463227E-2 EBITDA 1416.7748750000001 1811.96197484 0.27893429422934962 0.19764239014598101 821.82596231000002 1017.68217709 0.23831835907140805 0.17755511651075481 Flujo de operación 1416.7748750000001 1811.96197484 0.27893429422934962 0.19764239014598101 821.82596231000002 1017.68217709 0.23831835907140805 0.17755511651075481 as % net sales 0.18383548650935289 0.21038721673853397 2.5999999999999996 0.20081094142663669 0.22155237719897489 2.0999999999999992 % de ventas netas 0.18383548650935289 0.21038721673853397 2.5999999999999996 0.20081094142663669 0.22155237719897489 2.0999999999999992 Cost of sales 5184.5682230900002 5674.3077887399995 -9.4461012870636837E-2 2694.3426981700004 2975.4261337000003 -0.10432356497223312 Costo de ventas 5184.5682230900002 5674.3077887399995 -9.4461012870636837E-2 2694.3426981700004 2975.4261337000003 -0.10432356497223312 as % net sales 0.67273046582837048 0.6588448539027475 1.4000000000000012 0.65835531920250046 0.64775894472886275 1.0000000000000009 % de ventas netas 0.67273046582837048 0.6588448539027475 1.4000000000000012 0.65835531920250046 0.64775894472886275 1.0000000000000009 Operating expenses 1737.4331913799999 1804.86998935 -3.8814038032988531E-2 903.67267332000006 937.34642797000004 -3.726322112439908E-2 Gastos de operación 1737.4331913799999 1804.86998935 -3.8814038032988531E-2 903.67267332000006 937.34642797000004 -3.726322112439908E-2 as % net sales 0.22544292791389309 0.20956376508275465 1.5000000000000013 0.22080996292797042 0.20406305038135253 1.7000000000000015 % de ventas netas 0.22544292791389309 0.20956376508275465 1.5000000000000013 0.22080996292797042 0.20406305038135253 1.7000000000000015 Millions of U.S. dollars Millones de dólares US OJO: Revisar que el EBITDA sea el mismo al de la gráfica de cascada de EBITDA (MAIL Monica Valdes) Validación Ventas netas TRUE TRUE TRUE TRUE #REF! TRUE TRUE TRUE Flujo de operación TRUE TRUE TRUE TRUE #REF! TRUE TRUE TRUE % de ventas netas TRUE TRUE TRUE TRUE #REF! TRUE TRUE TRUE Costo de ventas TRUE TRUE TRUE TRUE #REF! TRUE TRUE TRUE % de ventas netas TRUE TRUE TRUE TRUE #REF! TRUE TRUE TRUE Gastos de operación TRUE TRUE TRUE TRUE #REF! TRUE TRUE TRUE % de ventas netas TRUE TRUE TRUE TRUE #REF! TRUE TRUE TRUE Segundo Trimestre Primer Trimestre Second Quarter First Quarter 2025 2026 % var 2026 2025 2026 % var 2026 Deuda Total1 6921.412730379222 6878.8006912938336 -6.1565522452312615E-3 6236.1195676767447 Total debt1 6921.412730379222 6878.8006912938336 -6.1565522452312615E-3 6236.1195676767447 Corto Plazo 0.13269153795547564 6.3723513488677913E-2 0.10480400544481097 Short-term 0.13269153795547564 6.3723513488677913E-2 0.10480400544481097 Largo Plazo 0.86730846204452439 0.93627648651132211 0.89519599455518895 Long-term 0.86730846204452439 0.93627648651132211 0.89519599455518895 Efectivo y equivalentes 1165.52585 653.68398999999999 -0.43915101496890863 686.97951999999998 Cash and cash equivalents 1165.52585 653.68398999999999 -0.43915101496890863 686.97951999999998 Deuda neta 5755.886880379222 6225.1167012938331 8.152172387440948E-2 5549.1400476767449 Net debt 5755.886880379222 6225.1167012938331 8.152172387440948E-2 5549.1400476767449 Razón de apalancamiento2 2.72 2.08 2.2999999999999998 Leverage ratio2 2.72 2.08 2.2999999999999998 OJO: Información viene del data bridge - COVENANTS Currency Denomination 2Q26 US Dollar #REF! Euro #REF! Mexican Peso #REF! Other #REF! Interest rate 2Q26 Fixed #REF! Variable #REF! Validacion Deuda Total1 0 0 0 0 Costo Plazo 0 0 0 0 Largo Plazo 0 0 0 0 Notas perpetuas #REF! #REF! #REF! #REF! Efectivo y equivalentes 0 0 0 0 Deuda neta más notas perpetuas 0 0 0 0 Deuda Consolidada Fondeada2 /Flujo de operación3 0 0 0 0 Cobertura de intereses3 4 #REF! #REF! #REF! #REF! 6M26 6M25 2T26 2T25 6M26 6M25 2Q26 2Q25 6M26 vs. 6M25 2Q26 vs. 2Q25 Ventas Netas 602.14880793650696 566.06329453486717 306.5282239248034 285.3733008122598 Net Sales 602.14880793650696 566.06329453486717 306.5282239248034 285.3733008122598 Cement Volume 0 0 % var (comp) -9.9493761682780645E-3 -8.5889013825390624E-3 % var (l-t-l) -9.9493761682780645E-3 -8.5889013825390624E-3 Price (l-t-l) 0 0 Flujo de Operación 132.75631431631339 104.72024332909287 66.406935111350904 49.539587930547043 Operating EBITDA 132.75631431631339 104.72024332909287 66.406935111350904 49.539587930547043 Ready mix Volume 0 0 % var (comp) 0.19376319502253928 0.25498949451449904 % var (l-t-l) 0.19376319502253928 0.25498949451449904 Price (l-t-l) 0 0 Margen Flujo de Operación 0.22047094101415504 0.18499740990120414 0.21664215536524839 0.173595735093445 Operating EBITDA margin 0.22047094101415504 0.18499740990120414 0.21664215536524839 0.173595735093445 Aggregates Volume 0 0 var pp 3.5000000000000004 4.3000000000000007 pp var 3.5000000000000004 4.3000000000000007 Price (l-t-l) 0 0 2T26 6M25 Acum.2T26 2T25 2Q26 6M25 YTD2Q26 2T25 Ventas 306.5282239248034 566.06329453486717 602.14880793650696 285.3733008122598 Sales 306.5282239248034 566.06329453486717 602.14880793650696 285.3733008122598 % var (comp) -8.5889013825390624E-3 -9.9493761682780645E-3 % YoY (l-t-l) -8.5889013825390624E-3 -9.9493761682780645E-3 EBITDA 66.406935111350904 104.72024332909287 132.75631431631339 49.539587930547043 EBITDA 66.406935111350904 104.72024332909287 132.75631431631339 49.539587930547043 % var (comp) 0.25498949451449904 0.19376319502253928 % YoY (l-t-l) 0.25498949451449904 0.19376319502253928 Margen EBITDA 0.21664215536524839 0.18499740990120414 0.22047094101415504 0.173595735093445 EBITDA margin 0.21664215536524839 0.18499740990120414 0.22047094101415504 0.173595735093445 var pp 4.3000000000000007 3.5000000000000004 pp var 4.3000000000000007 3.5000000000000004 5.54 x 14.48 Amounts in thousands of U.S. dollars SALES 1Q23 2Q23 3Q23 4Q23 2023 1Q24 2Q24 3Q24 4Q24 2024 Mexico 981282.34763977397 1059642.66709446 1117220.4045870199 1205845.1064696 4363990.5257908534 1255449.24375407 1311468.6993555799 0 - 2566917.9431096502 U.S.A. 1190295.70502 1305978.07054 1309885.3206 1201659.20548 5007818.3016400002 1195941.16387 1314782.76722 0 - 2510723.9310900001 Europe, Middle East and Africa 1069541.7457412025 1341394.9265992206 1378733.2164337127 1327850.8425004999 5117520.7312746355 1162167.5735712026 1518384.806933925 0 - 2680552.3805051278 Europe 781686.13670631172 1041139.3827341136 1026427.6681712441 969742.8508364812 3818996.0384481503 813572.79489927134 1114306.1953075379 0 - 1927878.9902068092 Middle East and Africa 287855.6090348906 300255.54386510712 352305.54826246877 358107.99166401854 1298524.692826485 348594.77867193148 404078.61162638722 0 - 752673.3902983187 South, Central America and the Caribbean 280689.99372260779 285373.30081225978 297491.83831336559 280836.23795850266 1144391.3708067359 295620.58401170379 306528.22392480337 0 - 602148.80793650716 Others and intercompany eliminations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OPERATING EBITDA 1Q23 2Q23 3Q23 4Q23 2023 1Q24 2Q24 3Q24 4Q24 2024 Mexico 308234.39645429846 346874.57467852678 369399.54498341365 379292.74289825873 1403801.2590144975 453229.73077723413 491330.25141408516 0 - 944559.98219131934 U.S.A. 189744.7996800002 278536.80884999997 269306.76548999996 241150.22366999998 978738.5976900002 189916.55972999978 248207.16983999999 0 - 438123.72956999973 Europe, Middle East and Africa 116865.75579891271 229193.95806850077 247058.9889832878 194409.71021688782 787528.41306758905 151662.37441943731 292623.67193980393 0 - 444286.04635924124 Europe 68684.871459679867 177903.8700961413 183908.42006406316 138087.66672080313 568584.82834068744 90523.035671141159 223654.46733867534 0 - 314177.50300981652 Middle East and Africa 48180.884339232842 51290.087972359463 63150.568919224635 56322.043496084691 218943.58472690164 61139.338748296155 68969.204601128571 0 - 130108.54334942473 South, Central America and the Caribbean 55180.655398545634 49539.587930547044 65032.551873990291 53206.127039062092 222958.92224214505 66349.379204962475 66406.935111350904 0 - 132756.31431631336 Others and intercompany eliminations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Cantidades en miles de dólares VENTAS 1T23 2T23 3T23 4T23 2023 1T24 2T24 3T24 4T24 2024 México 981282.34763977397 1059642.66709446 1117220.4045870199 1205845.1064696 4363990.5257908534 1255449.24375407 1311468.6993555799 0 - 2566917.9431096502 Estados Unidos 1190295.70502 1305978.07054 1309885.3206 1201659.20548 5007818.3016400002 1195941.16387 1314782.76722 0 - 2510723.9310900001 Europa, Medio Oriente y África 1069541.7457412025 1341394.9265992206 1378733.2164337127 1327850.8425004999 5117520.7312746355 1162167.5735712026 1518384.806933925 0 - 2680552.3805051278 Europa 781686.13670631172 1041139.3827341136 1026427.6681712441 969742.8508364812 3818996.0384481503 813572.79489927134 1114306.1953075379 0 - 1927878.9902068092 Medio Oriente y África 287855.6090348906 300255.54386510712 352305.54826246877 358107.99166401854 1298524.692826485 348594.77867193148 404078.61162638722 0 - 752673.3902983187 Centro, Sudamérica y el Caribe 280689.99372260779 285373.30081225978 297491.83831336559 280836.23795850266 1144391.3708067359 295620.58401170379 306528.22392480337 0 - 602148.80793650716 Otros y eliminaciones intercompañía 92408.452106415527 100146.81249406002 142089.90561590134 163512.87751139747 498158.04772777436 109915.53508302383 142251.24450569157 0 - 252166.77958871541 TOTAL 3614218.2442300003 4092535.7775400006 4245420.6855499996 4179704.2699199999 16131878.97724 4019094.1002900004 4593415.7419399992 0 - 8612509.8422299996 FLUJO DE OPERACIÓN (Op. EBITDA) 1T23 2T23 3T23 4T23 2023 1T24 2T24 3T24 4T24 2024 México 308234.39645429846 346874.57467852678 369399.54498341365 379292.74289825873 1403801.2590144975 453229.73077723413 491330.25141408516 0 - 944559.98219131934 Estados Unidos 189744.7996800002 278536.80884999997 269306.76548999996 241150.22366999998 978738.5976900002 189916.55972999978 248207.16983999999 0 - 438123.72956999973 Europa, Medio Oriente y África 116865.75579891271 229193.95806850077 247058.9889832878 194409.71021688782 787528.41306758905 151662.37441943731 292623.67193980393 0 - 444286.04635924124 Europa 68684.871459679867 177903.8700961413 183908.42006406316 138087.66672080313 568584.82834068744 90523.035671141159 223654.46733867534 0 - 314177.50300981652 Medio Oriente y África 48180.884339232842 51290.087972359463 63150.568919224635 56322.043496084691 218943.58472690164 61139.338748296155 68969.204601128571 0 - 130108.54334942473 Centro, Sudamérica y el Caribe 55180.655398545634 49539.587930547044 65032.551873990291 53206.127039062092 222958.92224214505 66349.379204962475 66406.935111350904 0 - 132756.31431631336 Otros y eliminaciones intercompañía -75076.694641756985 -82318.967217574565 -68533.613040690747 -87024.567024209595 -312953.84192423185 -66878.246381631674 -80885.851215238101 0 - -147764.09759686977 TOTAL 594948.91269000014 821825.96230999997 882264.23829000106 781034.23679999914 3080073.3500900003 794279.79775000201 1017682.1770900019 0 - 1811961.974840004 CHECK SALES 1Q23 2Q23 3Q23 4Q23 2023 1Q24 2Q24 3Q24 4Q24 2024 Mexico 0 0 0 0 0 0 0 0 #VALUE! 0 U.S.A. 0 0 0 0 0 0 0 0 #VALUE! 0 Europe, Middle East and Africa 0 0 0 0 0 0 0 0 #VALUE! 0 Europe 0 0 0 0 0 0 0 0 #VALUE! 0 Middle East and Africa 0 0 0 0 0 0 0 0 #VALUE! 0 South, Central America and the Caribbean 0 0 0 0 0 0 0 0 #VALUE! 0 Others and intercompany eliminations 0 0 0 0 0 0 0 0 #VALUE! 0 TOTAL 0 0 0 0 0 0 0 0 #VALUE! 0 OPERATING EBITDA 1Q23 2Q23 3Q23 4Q23 2023 1Q24 2Q24 3Q24 4Q24 2024 Mexico 0 0 0 0 0 0 0 0 #VALUE! 0 USA 0 0 0 0 0 0 0 0 #VALUE! 0 EMEAA 0 0 0 0 0 0 0 0 #VALUE! 0 Europe 0 0 0 0 0 0 0 0 #VALUE! 0 Middle East and Africa 0 0 0 0 0 0 0 0 #VALUE! 0 South, Central America and the Caribbean 0 0 0 0 0 0 0 0 #VALUE! 0 Others and intercompany eliminations 0 0 0 0 0 0 0 0 #VALUE! 0 TOTAL 0 0 0 0 0 0 0 0 #VALUE! 0 Domestic gray cement Ready mix Aggregates YTD 2Q26 vs. YTD 2Q25 YTD 2Q26 vs. YTD 2Q25 YTD 2Q26 vs. YTD 2Q25 Volume Price (USD) Price (LC) Volume Price (USD) Price (LC) Volume Price (USD) Price (LC) Mexico 6.6155055315742492E-2 0.20528719222564798 6.0326589455615261E-2 0 -3.9425066619959467E-2 0.16749594146356159 2.635762618336731E-2 0 4.7416336016359854E-2 0.18315431698790763 4.0427396487914082E-2 U.S.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Europe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Cemento gris doméstico Concreto Agregados Acum. 2T26vs.Acum. 2T25 Acum. 2T26vs.Acum. 2T25 Acum. 2T26vs.Acum. 2T25 Volumen Precio Precio Volumen Precio Precio Volumen Precio Precio (USD) (ML) (USD) (ML) (USD) (ML) México 6.6155055315742492E-2 0.20528719222564798 6.0326589455615261E-2 -3.9425066619959467E-2 0.16749594146356159 2.635762618336731E-2 4.7416336016359854E-2 0.18315431698790763 4.0427396487914082E-2 Estados Unidos -5.0337022102115705E-3 -2.4352911304465215E-2 -2.4352911304465215E-2 0 1.6624644027637583E-3 -1.3297891473384719E-2 -1.3297891473384719E-2 0 4.8543117504891251E-2 2.1570747078481941E-2 2.1570747078481941E-2 EMEA -4.0436100931146281E-2 6.1601331189057404E-2 2.7334262540198301E-2 0 -1.566551408805254E-3 0.12772454714372633 3.6649937139988514E-2 0 -5.5837470831966225E-2 0.11497884513140075 4.5831029464046658E-2 Europa -4.8936735651140803E-2 5.0630572496988338E-2 9.6642321883088373E-3 0 -6.245624036056293E-2 7.0658825861128913E-2 2.2026613673111289E-2 0 -7.0978396964098925E-2 7.965672693654767E-2 4.1802505306399028E-2 MEA -2.1320622648580131E-2 0.15396871348827301 0.15571233963592557 0 8.0070098648734378E-2 0.25175474264992193 8.9903613520919176E-2 0 -3.2204559421903697E-3 0.26989369721271578 7.4837221331888845E-2 SCAC 1.6595590490368569E-2 5.4832260315547533E-2 6.3301682816540913E-3 0 -7.8324920286606176E-2 0.12705289685341545 -5.1933879429618595E-3 0 -0.27519760785615843 0.1267190254003677 -5.1238227605119261E-3 Validación México 0 0 0 0 0 0 0 0 0 Estados Unidos 0 0 0 0 0 0 0 0 0 Europa 0 0 0 0 0 0 0 0 0 Israel N/A N/A N/A #REF! #REF! #REF! #REF! #REF! #REF! Filipinas #REF! #REF! #REF! N/A N/A N/A N/A N/A N/A Colombia 0 0 0 0 0 0 0 0 0 Panamá #REF! #REF! #REF! #REF! #REF! #REF! #REF! #REF! #REF! Costa Rica #REF! #REF! #REF! #REF! #REF! #REF! #REF! #REF! #REF! República Dominicana #REF! #REF! #REF! #REF! #REF! #REF! N/A N/A N/A 6M26 6M25 2T26 2T25 6M26 vs. 6M25 2T26 vs. 2T25 6M26 6M25 2Q26 2Q25 6M26 vs. 6M25 2Q26 vs. 2Q25 Ventas Netas 2680.5523805051293 2410.9366723404241 1518.3848069339251 1341.3949265992205 Cemento Volumen -4.0436100931146551E-2 -4.1995341916538399E-2 Net Sales 2680.5523805051293 2410.9366723404241 1518.3848069339251 1341.3949265992205 Cement Volume -4.0436100931146551E-2 -4.1995341916538399E-2 % var (comp) 4.6484149634896457E-2 9.1681384140548786E-2 Precio (comp) 2.7334262540198166E-2 2.5597868581302932E-2 % var (l-t-l) 4.6484149634896457E-2 9.1681384140548786E-2 Price (l-t-l) 2.7334262540198166E-2 2.5597868581302932E-2 Flujo de Operación 444.28604635924131 346.05971386741351 292.62367193980396 229.19395806850076 Concreto Volumen -1.5665514088050582E-3 3.3348502859567024E-2 Operating EBITDA 444.28604635924131 346.05971386741351 292.62367193980396 229.19395806850076 Ready mix Volume -1.5665514088050582E-3 3.3348502859567024E-2 % var (comp) 0.22957037589323576 0.24226813514991366 Precio (comp) 3.6649937139988514E-2 4.0639947120225985E-2 % var (l-t-l) 0.22957037589323576 0.24226813514991366 Price (l-t-l) 3.6649937139988514E-2 4.0639947120225985E-2 Margen Flujo de Operación 0.16574421361447861 0.14353745489775763 0.19272036350962904 0.17086240116441032 Agregados Volumen -5.5837470831966093E-2 -4.4452365514784327E-2 Operating EBITDA margin 0.16574421361447861 0.14353745489775763 0.19272036350962904 0.17086240116441032 Aggregates Volume -5.5837470831966093E-2 -4.4452365514784327E-2 var pp 2.200000000000002 2.1999999999999993 Precio (comp) 4.5831029464046658E-2 4.9598748364816821E-2 pp var 2.200000000000002 2.1999999999999993 Price (l-t-l) 4.5831029464046658E-2 4.9598748364816821E-2 2T26 6M25 Acum.2T26 2T25 2Q26 6M25 YTD2Q26 2T25 Ventas 1518.3848069339251 2410.9366723404241 2680.5523805051293 1341.3949265992205 Sales 1518.3848069339251 2410.9366723404241 2680.5523805051293 1341.3949265992205 % var (comp) 9.1681384140548786E-2 4.6484149634896457E-2 % YoY (l-t-l) 9.1681384140548786E-2 4.6484149634896457E-2 EBITDA 292.62367193980396 346.05971386741351 444.28604635924131 229.19395806850076 EBITDA 292.62367193980396 346.05971386741351 444.28604635924131 229.19395806850076 % var (comp) 0.24226813514991366 0.22957037589323576 % YoY (l-t-l) 0.24226813514991366 0.22957037589323576 Margen EBITDA 0.19272036350962904 0.14353745489775763 0.16574421361447861 0.17086240116441032 EBITDA margin 0.19272036350962904 0.14353745489775763 0.16574421361447861 0.17086240116441032 var pp 2.1999999999999993 2.200000000000002 pp var 2.1999999999999993 2.200000000000002 5.54 x 14.48 Domestic gray cement Ready mix Aggregates 2Q26 vs. 2Q25 2Q26 vs. 2Q25 2Q26 vs. 2Q25 Volume Price (USD) Price (LC) Volume Price (USD) Price (LC) Volume Price (USD) Price (LC) Mexico 7.2391992039602615E-2 0.17554724631589039 6.3569734455188057E-2 0 -1.6861130733510196E-2 0.12427037905349417 1.7268665624843617E-2 0 3.8289425451352589E-2 0.15811569972107511 4.7935305915988199E-2 U.S. -1.1512124043559881E-3 -1.8691389146913429E-2 -1.8691389146913429E-2 0 -1.7391168053646332E-2 -1.1961076361652018E-3 -1.1961076361657339E-3 0 1.3533760774428182E-2 2.0084839756947394E-2 2.0084839756947394E-2 EMEA -4.1995341916538274E-2 2.8764610205884965E-2 2.5597868581302804E-2 0 3.3348502859567218E-2 0.1123290382424567 4.0639947120225985E-2 0 -4.445236551478457E-2 9.1265829623167927E-2 4.9598748364817501E-2 Europe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Cemento gris doméstico Concreto Agregados 2T26 vs. 2T25 2T26 vs. 2T25 2T26 vs. 2T25 Volumen Precio Precio Volumen Precio Precio Volumen Precio Precio (USD) (ML) (USD) (ML) (USD) (ML) México 7.2391992039602615E-2 0.17554724631589039 6.3569734455188057E-2 -1.6861130733510196E-2 0.12427037905349417 1.7268665624843617E-2 3.8289425451352589E-2 0.15811569972107511 4.7935305915988199E-2 Estados Unidos -1.1512124043559881E-3 -1.8691389146913429E-2 -1.8691389146913429E-2 -1.7391168053646332E-2 -1.1961076361652018E-3 -1.1961076361657339E-3 1.3533760774428182E-2 2.0084839756947394E-2 2.0084839756947394E-2 EMEA -4.1995341916538274E-2 2.8764610205884965E-2 2.5597868581302804E-2 0 3.3348502859567218E-2 0.1123290382424567 4.0639947120225985E-2 0 -4.445236551478457E-2 9.1265829623167927E-2 4.9598748364817501E-2 Europa -3.262280208322331E-2 1.6252209413507121E-2 8.7022058830893406E-3 0 -3.6611805628303691E-2 2.6732210929551064E-2 1.7793662285283316E-2 0 -6.8014483098530018E-2 5.0065591030693642E-2 4.8447734126150929E-2 MEA -6.5519344244199987E-2 7.0721526121058198E-2 9.5326833286101836E-2 0 0.1365478870232695 0.3034865897021477 0.11897249868095541 0 4.8192160479723731E-2 0.29401272655271693 7.7252615559396054E-2 SCAC 1.4490802366914952E-2 6.0918769739624651E-2 6.5045997157680176E-3 0 -5.9223111859340274E-2 0.1376780448070796 -9.8744697741129008E-3 0 -0.28115728157406483 0.16464429174108894 1.0240555655846856E-2 Validación México 0 0 0 0 0 0 0 0 0 0 0 Estados Unidos 0 0 0 0 0 0 0 0 0 0 0 Europa 0 0 0 0 0 0 0 0 0 0 0 Israel 0 0 0 0 0 0 0 0 0 0 0 Colombia 0 0 0 0 0 0 0 0 0 0 0 Panamá 0 0 0 0 0 0 0 0 0 0 0 Costa Rica 0 0 0 0 0 0 0 0 0 0 0 República Dominicana 0 0 0 0 0 0 0 0 0 0 0 Amounts in thousands of U.S. dollars This information is being presented for convenience of the reader. SALES 3Q23 4Q23 1Q24 2Q24 3Q24 Mexico 1117220.4045870199 1205845.1064696 1255449.24375407 1311468.6993555799 0 U.S.A. 1309885.3206 1201659.20548 1195941.16387 1314782.76722 0 Europe, Middle East and Africa 1378733.2164337127 1327850.8425004999 1162167.5735712026 1518384.806933925 0 Europe 1026427.6681712441 969742.8508364812 813572.79489927134 1114306.1953075379 0 Middle East and Africa 352305.54826246877 358107.99166401854 348594.77867193148 404078.61162638722 0 South, Central America and the Caribbean 297491.83831336559 280836.23795850266 295620.58401170379 306528.22392480337 0 Others and intercompany eliminations 142089.90561590134 163512.87751139747 109915.53508302383 142251.24450569157 0 TOTAL 4245420.6855499996 4179704.2699199999 4019094.1002900004 4593415.7419399992 0 OPERATING EBITDA 3Q23 4Q23 1Q24 2Q24 3Q24 Mexico 369399.54498341365 379292.74289825873 453229.73077723413 491330.25141408516 0 U.S.A. 269306.76548999996 241150.22366999998 189916.55972999978 248207.16983999999 0 Europe, Middle East and Africa 247058.9889832878 194409.71021688782 151662.37441943731 292623.67193980393 0 Europe 183908.42006406316 138087.66672080313 90523.035671141159 223654.46733867534 0 Middle East and Africa 63150.568919224635 56322.043496084691 61139.338748296155 68969.204601128571 0 South, Central America and the Caribbean 65032.551873990291 53206.127039062092 66349.379204962475 66406.935111350904 0 Others and intercompany eliminations -68533.613040690747 -87024.567024209595 -66878.246381631674 -80885.851215238101 0 TOTAL 882264.23829000106 781034.23679999914 794279.79775000201 1017682.1770900019 0 Cantidades en miles de dólares Esta información se está presentando para conveniencia del lector. VENTAS 3T23 4T23 1T24 2T24 3T24 México 1117220.4045870199 1205845.1064696 1255449.24375407 1311468.6993555799 0 Estados Unidos 1309885.3206 1201659.20548 1195941.16387 1314782.76722 0 Europa, Medio Oriente y África 1378733.2164337127 1327850.8425004999 1162167.5735712026 1518384.806933925 0 Europa 1026427.6681712441 969742.8508364812 813572.79489927134 1114306.1953075379 0 Medio Oriente y África 352305.54826246877 358107.99166401854 348594.77867193148 404078.61162638722 0 Centro, Sudamérica y el Caribe 297491.83831336559 280836.23795850266 295620.58401170379 306528.22392480337 0 Otros y eliminaciones intercompañía 142089.90561590134 163512.87751139747 109915.53508302383 142251.24450569157 0 TOTAL 4245420.6855499996 4179704.2699199999 4019094.1002900004 4593415.7419399992 0 FLUJO DE OPERACIÓN (Op. EBITDA) 3T23 4T23 1T24 2T24 3T24 México 369399.54498341365 379292.74289825873 453229.73077723413 491330.25141408516 0 Estados Unidos 269306.76548999996 241150.22366999998 189916.55972999978 248207.16983999999 0 Europa, Medio Oriente y África 247058.9889832878 194409.71021688782 151662.37441943731 292623.67193980393 0 Europa 183908.42006406316 138087.66672080313 90523.035671141159 223654.46733867534 0 Medio Oriente y África 63150.568919224635 56322.043496084691 61139.338748296155 68969.204601128571 0 Centro, Sudamérica y el Caribe 65032.551873990291 53206.127039062092 66349.379204962475 66406.935111350904 0 Otros y eliminaciones intercompañía -68533.613040690747 -87024.567024209595 -66878.246381631674 -80885.851215238101 0 TOTAL 882264.23829000106 781034.23679999914 794279.79775000201 1017682.1770900019 0 CHECK SALES 3Q23 4Q23 1Q24 2Q24 3Q24 Mexico 0 0 0 0 0 U.S.A. 0 0 0 0 0 Europe, Middle East and Africa 0 0 0 0 0 Europe 0 0 0 0 0 Middle East and Africa 0 0 0 0 0 South, Central America and the Caribbean 0 0 0 0 0 Others and intercompany eliminations 0 0 0 0 0 TOTAL 0 0 0 0 0 OPERATING EBITDA 3Q23 4Q23 1Q24 2Q24 3Q24 Mexico 0 0 0 0 0 USA 0 0 0 0 0 EMEAA 0 0 0 0 0 Europe 0 0 0 0 0 Middle East and Africa 0 0 0 0 0 South, Central America and the Caribbean 0 0 0 0 0 Others and intercompany eliminations 0 0 0 0 0 TOTAL 0 0 0 0 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Relevant Sustainability indicators Carbon strategy YTD 2Q25 2025 YTD 2Q26 Gross Kg of CO2 per ton of cement equivalent 580 577 574 Net Kg of CO2 per ton of cement equivalent 536 538 540 Clinker factor 71.7% 71.3% 70.5% Alternative fuels 32.3% 32.1% 27.6% Low-carbon products YTD 2Q25 2025 YTD 2Q26 Blended cement as % of total cement produced 83.8% 84.5% 86.4% Health and safety YTD 2Q25 2025 YTD 2Q26 Employee fatalities 0 2 1 Employee LTI frequency rate 0.2 0.3 0.5 Operations with zero fatalities and injuries (%) 97% 97% 97%</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Notes and Definitions SCAC South, Central America and the Caribbean. EMEA Europe, Middle East and Africa. MEA Middle East, and Africa. Cement When providing cement volume variations, refers to domestic gray cement operations (starting in 2Q10, the base for reported cement volumes changed from total domestic cement including clinker to domestic gray cement). LC Local currency. l-t-l (like to like) On a like-to-like basis adjusting for currency fluctuations. Maintenance capital expenditures Investments incurred for the purpose of ensuring the company’s operational continuity. These include capital expenditures on projects required to replace obsolete assets or maintain current operational levels, and mandatory capital expenditures, which are projects required to comply with governmental regulations or company policies. Sales When referring to reportable segment sales, revenues are presented before eliminations of intragroup transactions. When referring to Consolidated Sales, these represent the total revenues (Net Sales) of the company as reported in the financial statements. EBIT Means Operating earnings before other expenses, net. EBITDA Means Operating EBITDA: Operating earnings before other expenses, net plus depreciation and operating amortization. EBITDA margin Means Operating EBITDA margin: which is calculated by dividing our “Operating EBITDA” by our sales. Free cash flow from operations Cemex defines it as Operating EBITDA minus net interest paid, maintenance capital expenditures, maintenance lease payments, fixed asset sales, change in working capital, net taxes paid, and other cash expenditures. Investment in intangible assets Equals investments and expenses incurred in the development of internal-use software, industrial property, and trademarks, and aggregates mining rights. IFRS International Financial Reporting Standards, as issued by the International Accounting Standards Board. Pp Percentage points. Prices All references to pricing initiatives, price increases or decreases, refer to our prices for our products. Growth capital expenditures Investments incurred with the purpose of increasing the company’s profitability. These include capital expenditures on projects designed to increase profitability by expanding capacity, and margin improvement capital expenditures, which are projects designed to increase profitability by reducing costs. USD/U.S. dollars U.S. dollars. % YoY Year-over-year percentage variation for the same period of the previous year.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3657600" cy="205740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9.jpe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3.jpeg"/><Relationship Id="rId41" Type="http://schemas.openxmlformats.org/officeDocument/2006/relationships/image" Target="media/image24.jpeg"/><Relationship Id="rId42" Type="http://schemas.openxmlformats.org/officeDocument/2006/relationships/image" Target="media/image25.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31.jpeg"/><Relationship Id="rId49" Type="http://schemas.openxmlformats.org/officeDocument/2006/relationships/image" Target="media/image32.jpeg"/><Relationship Id="rId50" Type="http://schemas.openxmlformats.org/officeDocument/2006/relationships/image" Target="media/image33.jpeg"/><Relationship Id="rId51" Type="http://schemas.openxmlformats.org/officeDocument/2006/relationships/image" Target="media/image34.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110688</Words>
  <Characters>867948</Characters>
  <CharactersWithSpaces>983138</CharactersWithSpaces>
  <Paragraphs>8554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dc:title>
</cp:coreProperties>
</file>